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>
      <w:r>
        <w:rPr>
          <w:b/>
          <w:bCs/>
        </w:rPr>
        <w:t xml:space="preserve">Recurso: </w:t>
      </w:r>
      <w:r>
        <w:t xml:space="preserve">Apelação cível .</w:t>
      </w:r>
    </w:p>
    <w:p>
      <w:r>
        <w:rPr>
          <w:b/>
          <w:bCs/>
        </w:rPr>
        <w:t xml:space="preserve">Relator: </w:t>
      </w:r>
      <w:r>
        <w:t xml:space="preserve">VOTO Trata</w:t>
      </w:r>
    </w:p>
    <w:p/>
    <w:p>
      <w:r>
        <w:t xml:space="preserve">DANO MORAL — SUCUMBÊNCIA - TEORIA DO RISCO - RESPONSABILIDADE OBJETIVA - VÍCIO NA PRESTAÇÃO DE SERVIÇOS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Apelação cível. Ação de procedimento comum ordinário. Dano moral. Empresa de segurança que presta serviços ao supermercado ré, e que aborda ilegalmente consumidor, acusando-o de furto e constrangendo-o ilegalmente. Dano moral evidente. Quantum fixado de forma elevada. Indenização de 100 salários mínimos. Redução para 75 salários mínimos. Dano material julgado improcedente. Sucumbência integral e não recíproca. Denunciação à lide. Provimento da denunciação em relação à empresa de vigilância e improvimento da denunciação em relação à pessoa do segurança. Improvimento do primeiro recurso e provimento parcial do segundo recurso. Vistos, relatados e discutidos estes autos de Apelação Cível nº 29785/2003, em que são Apelantes Barraseg Vigilância e Segurança Ltda. e Sendas S.A. e Apelados Almir Guimarães Dória, Marcos Evandro de Araújo e Sendas S.A. Acordam os Desembargadores que integram a Décima Sexta Câmara Cível do Tribunal de Justiça do Estado do Rio de Janeiro, por unanimidade, em negar provimento ao primeiro recurso e dar provimento parcial ao segundo, nos termos do voto do Des. Relator. VOTO Trata a hipótese vertente de ação ordinária, ajuizada por Almir Guimarães Dória, em face de Sendas S.A., pretendendo a condenação da ré no pagamento de indenização por dano material e moral. Alega o autor que ao efetuar uma compra nas dependências da ré, se dirigiu a outro estabelecimento, quando foi abordado por dois seguranças da ré, que constrangeram ilegalmente o autor, humilhando-o e acusando-o de furto. A sentença está correta e por isso não merece reforma, passando a mesma a fazer parte integrante da presente decisão, na forma regimental. Como bem ressaltou a sentença recorrida "esta lide é examinada à luz das regras do Código de Defesa do Consumidor, eis que patente a relação de consumo entre os litigantes, imperando, portanto, a Teoria do Risco do Empreendimento, que configura a Teoria da Responsabilidade Objetiva, sendo nec essário para o êxito da pretensão a conduta atribuída à empresa ré, através de seus prepostos e o nexo causal daí decorrente, gerador do dano noticiado pelo autor, sendo dispensável a comprovação da culpa. Aqui, verifica-se se houve ou não vício na prestação dos serviços proporcionados pela empresa ré. A análise da prova existente nos autos autoriza, com facilidade, a conclusão de que houve indisfarçável vício na prestação dos serviços, proporcionado pelo supermercado réu, aqui representado pela ação inadequada dos seguranças contratados pelo supermercado". Com efeito, o autor foi vítima de constrangimento em razão do péssimo comportamento dos seguranças que o abordaram em público na porta de um estabelecimento vizinho ao supermercado réu, sofrendo revista e acusação de furto no interior do estabelecimento réu. O dano moral é evidente. No tocante à lide secundária, relativamente à denunciação à lide, andou bem a sentença recorrida ao julgá-la procedente em relação à primeira denunciada e improcedente em relação ao segundo denunciado. Aqui, como ressaltou o magistrado, "a lide deve ser analisada à luz das regras da Teoria da Responsabilidade Subjetiva, lastreada na regra do artigo 159 do CC de 1916, então em vigor. Em relação à empresa de segurança Barraseg Vigilância e Segurança Ltda., há disposição contratual expressa no sentido de que esta indenizará a empresa contratante (Sendas S.A.) pelos "danos causados em seu patrimônio, etc., causados por imprudência, negligência ou imperícia dos vigilantes, independentemente de seus agentes causadores e etc.". Nesse diapasão, o êxito da denunciação da lide no tocante à firma de segurança é medida que se impõe. Relativamente ao segundo denunciado, Marcos Evandro de Araújo, também andou bem a sentença, ao julgar improcedente a denunciação nesse pormenor, vez que comprovado, através da prova testemunhal, que a abordagem partiu do gerente do supermercado, que determinou o cumprimento de sua ordem. Os recursos foram interpostos pela primeira denunciada e pela ré, inconformadas com a sentença recorrida. No que tange ao primeiro recurso, insurge-se a empresa de vigilância contra o fato de a sentença ter aplicado a sucumbência na lide principal e ter julgado procedente a denunciação. Quanto à sucumbência, bem lançada a sentença, que afirmou ter o autor decaído de parte mínima do pedido. Com efeito, embora tenha sido julgado improcedente o pedido de dano material, o importante é a procedência do dano moral, independente do quantum, uma vez que o valor prete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2026-10-26T02:22:47.334Z</dcterms:created>
  <dcterms:modified xsi:type="dcterms:W3CDTF">2026-10-26T02:22:47.334Z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