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02. PREGÃO — FORMA ELETRÔNICA - REGULAMENTA</w:t>
      </w:r>
    </w:p>
    <w:p/>
    <w:p>
      <w:pPr>
        <w:pStyle w:val="Heading2"/>
      </w:pPr>
      <w:r>
        <w:rPr>
          <w:b/>
          <w:bCs/>
        </w:rPr>
        <w:t xml:space="preserve">Ementa</w:t>
      </w:r>
    </w:p>
    <w:p>
      <w:r>
        <w:t xml:space="preserve">Art. 25. Encerrada a etapa de lances, o pregoeiro examinará a proposta classificada em primeiro lugar quanto à compatibilidade do preço em relação ao estimado para contratação e verificará a habilitação do licitante conforme disposições do edital. § 1º A habilitação dos licitantes será verificada por meio do SICAF, nos documentos por ele abrangidos, quando dos procedimentos licitatórios realizados por órgãos integrantes do SISG ou por órgãos ou entidades que aderirem ao SICAF. § 2º Os documentos exigidos para habilitação que não estejam contemplados no SICAF, inclusive quando houver necessidade de envio de anexos, deverão ser apresentados inclusive via fax, no prazo definido no edital, após solicitação do pregoeiro no sistema eletrônico. § 3º Os documentos e anexos exigidos, quando remetidos via fax, deverão ser apresentados em original ou por cópia autenticada, nos prazos estabelecidos no edital. § 4º Para fins de habilitação, a verificação pelo órgão promotor do certame nos sítios oficiais de órgãos e entidades emissores de certidões constitui meio legal de prova. § 5º Se a proposta não for aceitável ou se o licitante não atender às exigências habilitatórias, o pregoeiro examinará a proposta subseqüente e, assim sucessivamente, na ordem de classificação, até a apuração de uma proposta que atenda ao edital. § 6º No caso de contratação de serviços comuns em que a legislação ou o edital exija apresentação de planilha de composição de preços, esta deverá ser encaminhada de imediato por meio eletrônico, com os respectivos valores readequados ao lance vencedor. § 7º No pregão, na forma eletrônica, realizado para o sistema de registro de preços, quando a proposta do licitante vencedor não atender ao quantitativo total estimado para a contratação, respeitada a ordem de classificação, poderão ser convocados tantos licitantes quantos forem necessários para alcançar o tota l estimado, observado o preço da proposta vencedora. § 8º Os demais procedimentos referentes ao sistema de registro de preços ficam submetidos à norma específica que regulamenta o art. 15 da Lei nº 8.666, de 1993. § 9º Constatado o atendimento às exigências fixadas no edital, o licitante será declarado vencedor. Art. 26. Declarado o vencedor, qualquer licitante poderá, durante a sessão pública, de forma imediata e motivada, em campo próprio do sistema, manifestar sua intenção de recorrer, quando lhe será concedido o prazo de três dias para apresentar as razões de recurso, ficando os demais licitantes, desde logo, intimados para, querendo, apresentarem contra-razões em igual prazo, que começará a contar do término do prazo do recorrente, sendo-lhes assegurada vista imediata dos elementos indispensáveis à defesa dos seus interesses. § 1º A falta de manifestação imediata e motivada do licitante quanto à intenção de recorrer, nos termos do caput, importará na decadência desse direito, ficando o pregoeiro autorizado a adjudicar o objeto ao licitante declarado vencedor. § 2º O acolhimento de recurso importará na invalidação apenas dos atos insuscetíveis de aproveitamento. § 3º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Art. 27. Decididos os recursos e constatada a regularidade dos atos praticados, a autoridade competente adjudicará o objeto e homologará o procedimento licitatório. § 1º Após a homologação referida no caput, o adjudicatário será convocado para assinar o contrato ou a ata de registro de preços no prazo definido no edital. § 2º Na assinatura do contrato ou da ata de regis tro de preços, será exigida a comprovação das condições de habilitação consignadas no edital, as quais deverão ser mantidas pelo licitante durante a vigência do contrato ou da ata de registro de preços. § 3º O vencedor da licitação que não fizer a comprovação referida no § 2º ou quando, injustificadamente, recusar-se a assinar o contrato ou a ata de registro de preços, poderá ser convocado outro licitante, desde que respeitada a ordem de classificação, para, após comprovados os requisitos habilitatórios e feita a negociação, assinar o contrato ou a ata de registro de preços, sem prejuízo das multas previstas em edital e no contrato e das demais cominações legais. § 4º O prazo de validade das propostas será de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2026-06-17T15:25:35.263Z</dcterms:created>
  <dcterms:modified xsi:type="dcterms:W3CDTF">2026-06-17T15:25:35.263Z</dcterms:modified>
</cp:coreProperties>
</file>

<file path=docProps/custom.xml><?xml version="1.0" encoding="utf-8"?>
<Properties xmlns="http://schemas.openxmlformats.org/officeDocument/2006/custom-properties" xmlns:vt="http://schemas.openxmlformats.org/officeDocument/2006/docPropsVTypes"/>
</file>