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DECRETO 5.441 DE 05-05-2005</w:t>
      </w:r>
    </w:p>
    <w:p/>
    <w:p/>
    <w:p>
      <w:r>
        <w:t xml:space="preserve">ART. 30 DA MP — 2.186-16 DE 23-08-2001 - REGULAMENTA</w:t>
      </w:r>
    </w:p>
    <w:p/>
    <w:p>
      <w:pPr>
        <w:pStyle w:val="Heading2"/>
      </w:pPr>
      <w:r>
        <w:rPr>
          <w:b/>
          <w:bCs/>
        </w:rPr>
        <w:t xml:space="preserve">Ementa</w:t>
      </w:r>
    </w:p>
    <w:p>
      <w:r>
        <w:t xml:space="preserve">DECRETO Nº 5.459, DE 07 DE JUNHO DE 2005 Regulamenta o art. 30 da Medida Provisória nº 2.186-16, de 23 de agosto de 2001, disciplinando as sanções aplicáveis às condutas e atividades lesivas ao patrimônio genético ou ao conhecimento tradicional associado e dá outras providências. O PRESIDENTE DA REPÚBLICA, no uso da atribuição que lhe confere o art. 84, inciso IV, da Constituição, e tendo em vista o disposto no art. 30, § 1º, da Medida Provisória nº 2.186-16, de 23 de agosto de 2001, DECRETA: CAPÍTULO I DAS DISPOSIÇÕES PRELIMINARES Art. 1º Considera-se infração administrativa contra o patrimônio genético ou ao conhecimento tradicional associado toda ação ou omissão que viole as normas da Medida Provisória nº 2.186-16, de 23 de agosto de 2001, e demais disposições pertinentes. Parágrafo único. Aplicam-se a este Decreto as definições constantes do art. 7º da Medida Provisória nº 2.186-16, de 2001, e da Convenção sobre Diversidade Biológica, promulgada pelo Decreto nº 2.159, de 16 de março de 1998, bem como as orientações técnicas editadas pelo Conselho de Gestão do Patrimônio Genético. Seção I Do Processo Administrativo Art. 2º As infrações contra o patrimônio genético ou ao conhecimento tradicional associado serão apuradas em processo administrativo próprio de cada autoridade competente, mediante a lavratura de auto de infração e respectivos termos, assegurado o direito de ampla defesa e ao contraditório. Art. 3º Qualquer pessoa, constatando infração contra o patrimônio genético ou ao conhecimento tradicional associado, poderá dirigir representação às autoridades relacionadas no art. 4º, para efeito do exercício do seu poder de polícia. Art. 4º São autoridades competentes para a fiscalização, na forma deste Decreto, os agentes públicos do seguinte órgão e entidade, no âmbito de suas respectivas competências: I - o Instituto Brasileiro do Meio Ambiente e dos Recursos Naturais Renováveis - IBAMA; II - o Comando da Marinha, do Ministério da Defesa. § 1º Os titulares do órgão e entidade federal de que trata os incisos I e II do caput poderão firmar convênios com os órgãos ambientais estaduais e municipais integrantes do Sistema Nacional de Meio Ambiente - SISNAMA, para descentralizar as atividades descritas no caput. § 2º O exercício da competência de fiscalização de que trata o caput pelo Comando da Marinha ocorrerá no âmbito de águas jurisdicionais brasileiras e da plataforma continental brasileira, em coordenação com os órgãos ambientais, quando se fizer necessário, por meio de instrumentos de cooperação. Art. 5º O agente público do órgão e entidade mencionados no art. 4º que tiver conhecimento de infração prevista neste Decreto é obrigado a promover a sua apuração imediata, sob pena de responsabilização. Art. 6º O processo administrativo para apuração de infração contra o patrimônio genético ou ao conhecimento tradicional associado deve observar os seguintes prazos máximos: I - vinte dias para o autuado oferecer defesa ou impugnação contra o auto de infração, contados da data da ciência da autuação; II - trinta dias para a autoridade competente julgar o auto de infração, contados da data da ciência da autuação, apresentada ou não a defesa ou a impugnação; III - vinte dias para o autuado recorrer da decisão condenatória à instância hierarquicamente superior ao órgão autuante, contados da ciência da decisão de primeira instância; IV - vinte dias para o autuado recorrer da decisão condenatória de segunda instância ao Conselho de Gestão do Patrimônio Genético; e V - cinco dias para o pagamento de multa, contados da data do recebimento da notificação. Art. 7º O agente autuante, ao lavrar o auto de infração, indicará as sanções aplicáveis à conduta, observando, para tanto: I - a gravidade dos fatos, tendo em vista os motivos da infração e suas conseqüências para o patrimônio genético, o conhecimento tradicional associado, a saúde pública ou para o meio ambiente; II - os antecedentes do autuado, quanto ao cumprimento da legislação de proteção ao patrimônio genético e ao conhecimento tradicional associado; e III - a situação econômica do autuado. Art. 8º A autoridade competente deve, de ofício ou mediante provocação, independentemente do recolhimento da multa aplicada, minorar, manter ou majorar o seu valor, respeitados os limites estabelecidos nos artigos infringidos, observado o disposto no art. 7º. Art. 9º Em caso de reincidência, a multa será aplicada em dobro. Parágrafo único. O reincidente não poderá gozar do benefício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2026-06-17T14:04:36.859Z</dcterms:created>
  <dcterms:modified xsi:type="dcterms:W3CDTF">2026-06-17T14:04:36.859Z</dcterms:modified>
</cp:coreProperties>
</file>

<file path=docProps/custom.xml><?xml version="1.0" encoding="utf-8"?>
<Properties xmlns="http://schemas.openxmlformats.org/officeDocument/2006/custom-properties" xmlns:vt="http://schemas.openxmlformats.org/officeDocument/2006/docPropsVTypes"/>
</file>