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>
      <w:r>
        <w:rPr>
          <w:b/>
          <w:bCs/>
        </w:rPr>
        <w:t xml:space="preserve">Recurso: </w:t>
      </w:r>
      <w:r>
        <w:t xml:space="preserve">AGRAVO DE INSTRUMENTO 496.403/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INAPLICABILIDADE AOS DIRIGIDOS AO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ainda que se aceitasse a tempestividade do recurso em virtude do "protocolo integrado", restou pacificado pela Corte Especial que o referido sistema não se aplica aos recursos dirigidos ao Superior Tribunal de Justiça, "verbis": "QUESTÃO DE ORDEM NO AGRAVO REGIMENTAL NO AGRAVO DE INSTRUMENTO 496.403/SP. SUBSISTÊNCIA DA SÚMULA 256 DO STJ. - Pela Corte Especial do Superior Tribunal de Justiça, por maioria, na assentada do dia 19 de maio de 2004, foi firmado entendimento no sentido da prevalência e manutenção da súmula 256, com reserva do "protocolo integrado" às instâncias ordinárias." (QOAG 496.403/SP, Rel. Ministro FERNANDO GONÇALVES, DJU, 09.08.04) - Nego provimento ao agravo. Ac. de 16-09-2004 DJ de 11-10-2004, pág. 335 (Reg. nº 2003/0059279-0) Arquivo do EMFOR, STJ/N 6431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entendimento da Corte Especial, o sistema de protocolo integrado não se aplica aos recursos encaminhados ao Superior Tribunal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2026-07-27T23:58:06.158Z</dcterms:created>
  <dcterms:modified xsi:type="dcterms:W3CDTF">2026-07-27T23:58:06.158Z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