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Agravo de Instrumento 26.899</w:t>
      </w:r>
    </w:p>
    <w:p>
      <w:r>
        <w:rPr>
          <w:b/>
          <w:bCs/>
        </w:rPr>
        <w:t xml:space="preserve">Julgado em: </w:t>
      </w:r>
      <w:r>
        <w:t xml:space="preserve">28/10/1985</w:t>
      </w:r>
    </w:p>
    <w:p/>
    <w:p>
      <w:r>
        <w:t xml:space="preserve">CABIMENTO DESDE QUE DEFERIDA A REINTEGRAÇÃO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Feito contrato de "leasing" a arrendatária deixou de pagar as prestações devidas. Correto, assim, o deferimento da reintegração de posse do veículo arrendado, ficando rescindido o contrato, sendo inaplicáveis ao presente feito as razões da 1ª Apelante. - Ao pedir a procedência do pedido de reintegração..., a 2ª Apelante também requereu a condenação da Ré ao pagamento das demais obrigações contratuais, em especial a indenização estipulada, conforme fosse apurada em execução. - Cabível, assim, a condenação em perdas e danos, conforme o admite o art. 921, I, do Código de Processo Civil. - A rescisão do contrato de pleno direito foi admitida no Agravo de Instrumento nº 26.899, de acordo com respeitáveis entendimentos, entre eles o do Juiz PESTANA DE AGUIAR no Agravo de Instrumento nº 26.961, da 2ª Câmara deste Tribunal, em 8-8-85: "Já tivemos oportunidade de, reiteradamente, entendermos que a rescisão de pleno direito não opera por si só, pois depende de sentença judicial desconstitutiva trânsita em julgado." - Autorizada agora na posse do veículo, fica a 1ª Apelante condenada a indenizar a 2ª pagando as prestações até a efetiva entrega do bem, inclusive a multa contratual. - Fica a Ré condenada ao pagamento das custas e de verba honorária fixada em 10% sobre o valor da causa, dado o trabalho realizado pelos patronos... Julgado em 29-10-1985 Arquivo do EMFOR, TA/686 EMFOR 455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contrato de arrendamento mercantil ou "leasing", deferida a reintegração, cabível é também a indenização, se requerida.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2026-07-27T23:47:13.092Z</dcterms:created>
  <dcterms:modified xsi:type="dcterms:W3CDTF">2026-07-27T23:47:13.092Z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