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DECISÕES RESPECTIVAS</w:t>
      </w:r>
    </w:p>
    <w:p/>
    <w:p/>
    <w:p>
      <w:r>
        <w:t xml:space="preserve">REQUISITOS — PRAZO DE NOVENTA DIAS PARA A LIQUIDAÇÃO DO DÉBITO - INOBSERVÂNCIA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 observar-se que, ainda que contraído o empréstimo durante o chamado Plano Cruzado, a interpretação do artigo 47 das Disposições Transitórias da Constituição Federal mostra ser cabível a correção, a não ser que preenchidos os pressupostos que ela indica, no mesmo texto normativo. - Ora, entre esses requisitos para afastar-se a correção monetária está, precisamente, a liquidação do débito, em 90 dias, o que inocorreu. - Daí a legalidade da correção exigida pelo Apelado. Ac. de 24-10-1989 Arquivo do EMFOR - TJ/1.967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Insatisfeitos os requisitos do artigo 47 das Disposições Transitórias da Constituição Federal, inclusive quanto ao prazo de noventa dias para a liquidação do débito (empréstimo bancário representado por cédula de crédito rural), afigura-se legítima a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2026-10-26T01:58:35.715Z</dcterms:created>
  <dcterms:modified xsi:type="dcterms:W3CDTF">2026-10-26T01:58:35.715Z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