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>
      <w:r>
        <w:rPr>
          <w:b/>
          <w:bCs/>
        </w:rPr>
        <w:t xml:space="preserve">Recurso: </w:t>
      </w:r>
      <w:r>
        <w:t xml:space="preserve">REsp 231.363/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28/10/2003</w:t>
      </w:r>
    </w:p>
    <w:p/>
    <w:p>
      <w:r>
        <w:t xml:space="preserve">CONTRATO DE PRESTAÇÃO E RESPONSABILIDADE DE SERVIÇOS — PRESTAÇÃO DE CONTAS - SORTEIO DE PRÊMIO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apelação direcionada à sentença de fl. em que se julgou extinto o processo na forma do artigo 267, I, do CPC. - Consta do "decisum" que "foi determinada a emenda na inicial no tocante à atribuição do valor da causa", mas os autores "não atenderam à determinação judicial". - A decisão, "data venia", não pode manter-se. - Primeiro, porque o despacho judicial (fl.), que vinha em complementação ao de fl., parecia sugerir que as autoras imprimissem à causa o rito sumário, o que recusaram ao argumento de que entendiam cabível, na espécie, o rito comum ordinário. - Não havia, portanto, qualquer determinação de atribuição de valor à causa, porque tanto já fora empreendido pela parte, fixando-se dito valor de R$ 10.000,00. - Não há pertinência, como se vê, entre o teor de sentença e o contexto processual, anotando-se que, quanto à eleição do rito, até porque se trata de tema de ordem pública, pode e deve o próprio juiz proceder as correções de rumo que entender devidos, prescindindo, em tal hipótese, da manifestação expressa da parte. - Precipitada, por isso, a extinção do feito que, de outro ângulo, também se revela imotivada. - Neste sentido: "VALOR DA CAUSA. ALTERAÇÃO DE OFÍCIO. PRECENDENTES. 1. Já decidiu a Corte que é "possível ao Magistrado, de ofício, ordenar a retificação do valor da causa, quando o critério de fixação estiver previsto na lei, quando a atribuição constante da inicial constituir expediente do autor para desviar a competência, o rito procedimental adequado ou alterar a regra recursal". 2. No caso, no próprio corpo da inicial, o autor menciona valores bem superiores ao que aponta, cabendo ao Magistrado, ademais de outras circunstâncias, determinar que a parte estabeleça o valor de acordo com a pretensão. 3. Recurso especial não conhecido. (STJ - REsp. 231.363/GO - 1999/0084741-5 - Relator Ministro Carlos Alberto Menezes Direito - Terceira Turma - 31/08/2000 - DJ 30.10.2000). "Ação indenizatória. Dano moral. Abertura de conta corrente para falsário, utilizando-se de documentos da autora da ação. Legitimidade passiva da instituição financeira. Conexão. Inexistência. Valor da causa. Inexigibilidade de que haja pedido com valor certo e determinado. É legitimada para a ação a instituição financeira que abriu a conta e negativou o nome da agravada, sendo questão de mérito saber se está, ou não, obrigada a indenizar. Não há conexão entre a ação proposta contra o agravado e a ajuizada em face de outro banco, pois diversas as partes e a causa de pedir. Se não há pedido certo, tendo sido deixado ao critério do juiz o arbitramento do montante da indenização, o valor da causa deve ser meramente estimado pela parte. Fixado esse valor em quantia inferior a 60 salários mínimos (artigo 267, I, do Código de Processo Civil), o rito a ser imprimido é o sumário, não podendo pretender o réu a conversão para o ordinário, porque as normas de processo são indisponíveis e obrigatórias. Pode a parte valer-se de advogado particular, que não está obrigado a firmar qualquer declaração, isso não significando que não seja juridicamente pobre (verbete nº 40 da "Súmula" desta Egrégia Corte). Desprovimento do recurso. (TJRJ - Agravo de Instrumento 2003.002.16938 - Décima Quinta Câmara Cível - Relator Desembargador Sérgio Lúcio Cruz - julgado em 29/10/2003). - Isto posto, ante a manifesta procedência do pedido, DOU PROVIMENTO ao presente recurso, nos termos do parágrafo 1º. - A do artigo 557 do CPC. Ac. de 30-09-2004 DJ de (omisso)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........................................... AT. ..................................... Av. ........................................... Nº ........ ..................... - ....... NOTIFICAÇÃO Notificamos V.S. para que no prazo de 24:00 horas., do recebimento desta, apresente à nossa Entidade, conforme previu a cláusula ............. do Contrato de Prestação e Responsabilidade de Serviços que firmamos em ........ de .............. de ............, as prestações de contas detalhadas e acompanhadas de documentos idôneos de receitas e despesas, relativamente aos dois últimos sorteios levados a efeito em ......... de ............. e .............. de................... de ..................., para que possamos dar cumprimento à legislação em vigor junto a ................... Na hipótese de V.S. não atender a presente, tomaremos desde logo as medidas judiciais cabíveis. Atenciosamente, EMENTA: - Já decidiu a Corte que é "possível ao Magistrado, de ofício, ordenar a retificação do valor da causa, quando o critério de fixação estiver previsto na lei, quando a atribuição constante da inicial constituir expediente do autor para desviar a competência, o rito procedimental adequado ou alterar a regra recursal.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2026-06-17T15:24:48.030Z</dcterms:created>
  <dcterms:modified xsi:type="dcterms:W3CDTF">2026-06-17T15:24:48.030Z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