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DECISÕES RESPECTIVAS</w:t>
      </w:r>
    </w:p>
    <w:p/>
    <w:p/>
    <w:p>
      <w:r>
        <w:t xml:space="preserve">AVALISTA — SE O BENEFÍCIO LHE APROVEITA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Os avalistas dos micro e pequenos empresários não podem ser cobrados pela correção monetária extinta pelo favor constitucional, pois o pagamento do débito leva à sua extinção, sem nada mais a ser exigido. Ac. de 30-08-1990 Revista dos Tribunais - Nov. de 1991 - Vol. 673 - Ano 80 - Pág. 102. EMFOR 525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benefício da anistia constitucional da correção monetária (art. 47, das "Disposições transitórias" da CF) é extensível ao avalista uma vez que, se a dívida se extinguiu na forma do favor constitucional, não mais existe, e, assim, não pode ser cobrada do coobrigado.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2026-09-10T23:18:11.836Z</dcterms:created>
  <dcterms:modified xsi:type="dcterms:W3CDTF">2026-09-10T23:18:11.836Z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