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/>
    <w:p>
      <w:r>
        <w:t xml:space="preserve">JUROS PACTUADOS COM TAXAS FLUTUANTES — ALCANCE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evidente que os juros pactuados com taxas flutuantes correspondem, e, portanto, se eqüivalem, à aplicação da correção monetária, dês que contém em si o índice de correção do dinheiro como fator indexador: inexiste correção monetária para os fins e efeitos do art. 47 das "Disposições Transitórias". Já que o dispositivo prevê que o devedor oferecerá o valor da dívida acrescida dos juros legais - no caso, foram previstos juros de 9% ao ano - e das taxas judiciais. E assim procedeu o devedor, mesmo porque os valores depositados não foram impugnados. - Tendo sido mencionada pelo apelante... ao seu apelo - in fine - a inexistência de apreciação pelo Juízo a quo da situação do avalista, mister se faz assinalar que já se decidiu que, preenchendo o devedor principal os requisitos legais, depositando a quantia no prazo legal e extinta a dívida, do favor constitucional se beneficiam os avalistas (AI 419.784-8). Despiciendos maiores comentários a respeito do tema. Ac. de 27-08-1990 Revista dos Tribunais - Junho de 1991 - Vol. 668 - Pág. 104.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pactuados com taxas flutuantes (Res. BCB-1.143/86) correspondem - e, portanto, se eqüivalem - à aplicação da correção monetária, dês que contém em si o índice de correção do dinheiro como fator indexador. São, portanto, alcançados pela anistia constitucional da correção monetária do art. 47 das "Disposições Transitórias"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2026-10-26T02:47:37.025Z</dcterms:created>
  <dcterms:modified xsi:type="dcterms:W3CDTF">2026-10-26T02:47:37.025Z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