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Juíza Cristina Teresa Gáulia</w:t>
      </w:r>
    </w:p>
    <w:p/>
    <w:p>
      <w:r>
        <w:t xml:space="preserve">INTERRUPÇÃO INDEVIDA DO SINAL — DEVER DE REPARAR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369 - TV POR ASSINATURA - INTERRUPÇÃO INDEVIDA DO SINAL - PAGAMENTO ANTECIPADO DE UMA DAS MENSALIDADES - FALHA NA PRESTAÇÃO DO SERVIÇO. TV por assinatura. Interrupção indevida de sinal. Autora-cliente da empresa-ré que por duas vezes atrasa o pagamento de mensalidades, agrupando-as em pagamentos posteriores. Serviço que é interrompido por alegado inadimplemento, apesar de a autora ter efetuado os respectivos pagamentos com os devidos encargos, tendo inclusive antecipado o pagamento de uma das mensalidades. Relação de consumo entre as partes que se subsume aos ditames da Lei no. 8.078/90. Parte ré que reconhece em contestação que "os valores pagos diretamente no banco não foram de pronto remetidos è empresa ré, motivo este que ocasionou a interrupção do sinal, bem como a emissão das faturas" (fl. 38). Parte ré que não contesta a alegação da autora de que esta teria efetuado o pagamento das mensalidades de set/01 e out/01, tendo interrompido o sinal da autora em 21.02.2002. Fatura com vencimento em 05.02.02 que ainda cobrava de forma indevida os valores referentes aos meses de set/01 e out/01. Relação entre o banco que promove o repasse dos valores e a empresa-ré que é totalmente estranha ao consumidor. Falha na prestação de serviço pela qual responde objetivamente a empresa-ré. Responsabilidade solidária. Artigo 14 "caput" e 25 , parágrafo 1º. CDC - Falha administrativa que causa transtornos à consumidora. Quebra dos deveres de lealdade e cuidado com os interesses da consumidora, decorrentes do princípio da boa-fé objetiva (artigo 4º. III da Lei no. 8.078/90). Danos morais ocorrentes em face dos aborrecimentos e transtornos causados à autora. "Quantum" indenizatório arbitrado com parcimônia pelo Juízo "a quo". Sentença de procedência parcial do pedido que condena a ré a proceder ao cancelamento das cobranças indevidas, bem como a pagar à autora o valor equivalente a 05 (cinco) salários mínimos, a título de danos morais, que se mantém. - Voto, pois, pela manutenção da r. sentença por seus próprios fundamentos, valendo a súmula como acórdão com fulcro no artigo 46 da Lei no. 9.099/95, condenando-se a recorrente vencida ao pagamento de honorários advocatícios de 20% sobre o valor total da condenação. Processo nº 2003.700.000293-7. Relatora: Juíza Cristina Teresa Gáulia. Sessão: 21/03/2003. Decisão unânime. Cadernos de Jurisprudência. Juizados Especiais. Editora Espaço Jurídico. Março de 2004. Vol. 008. Pág. 34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2026-06-17T14:11:53.614Z</dcterms:created>
  <dcterms:modified xsi:type="dcterms:W3CDTF">2026-06-17T14:11:53.614Z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