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Juíza Cristina Teresa Gáulia</w:t>
      </w:r>
    </w:p>
    <w:p/>
    <w:p>
      <w:r>
        <w:t xml:space="preserve">INTERRUPÇÃO INDEVIDA DO SINAL — DEVER DE REPARAR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369 - TV POR ASSINATURA - INTERRUPÇÃO INDEVIDA DO SINAL - PAGAMENTO ANTECIPADO DE UMA DAS MENSALIDADES - FALHA NA PRESTAÇÃO DO SERVIÇO. TV por assinatura. Interrupção indevida de sinal. Autora-cliente da empresa-ré que por duas vezes atrasa o pagamento de mensalidades, agrupando-as em pagamentos posteriores. Serviço que é interrompido por alegado inadimplemento, apesar de a autora ter efetuado os respectivos pagamentos com os devidos encargos, tendo inclusive antecipado o pagamento de uma das mensalidades. Relação de consumo entre as partes que se subsume aos ditames da Lei no. 8.078/90. Parte ré que reconhece em contestação que "os valores pagos diretamente no banco não foram de pronto remetidos è empresa ré, motivo este que ocasionou a interrupção do sinal, bem como a emissão das faturas" (fl. 38). Parte ré que não contesta a alegação da autora de que esta teria efetuado o pagamento das mensalidades de set/01 e out/01, tendo interrompido o sinal da autora em 21.02.2002. Fatura com vencimento em 05.02.02 que ainda cobrava de forma indevida os valores referentes aos meses de set/01 e out/01. Relação entre o banco que promove o repasse dos valores e a empresa-ré que é totalmente estranha ao consumidor. Falha na prestação de serviço pela qual responde objetivamente a empresa-ré. Responsabilidade solidária. Artigo 14 "caput" e 25 , parágrafo 1º. CDC - Falha administrativa que causa transtornos à consumidora. Quebra dos deveres de lealdade e cuidado com os interesses da consumidora, decorrentes do princípio da boa-fé objetiva (artigo 4º. III da Lei no. 8.078/90). Danos morais ocorrentes em face dos aborrecimentos e transtornos causados à autora. "Quantum" indenizatório arbitrado com parcimônia pelo Juízo "a quo". Sentença de procedência parcial do pedido que condena a ré a proceder ao cancelamento das cobranças indevidas, bem como a pagar à autora o valor equivalente a 05 (cinco) salários mínimos, a título de danos morais, que se mantém. - Voto, pois, pela manutenção da r. sentença por seus próprios fundamentos, valendo a súmula como acórdão com fulcro no artigo 46 da Lei no. 9.099/95, condenando-se a recorrente vencida ao pagamento de honorários advocatícios de 20% sobre o valor total da condenação. Processo nº 2003.700.000293-7. Relatora: Juíza Cristina Teresa Gáulia. Sessão: 21/03/2003. Decisão unânime. Cadernos de Jurisprudência. Juizados Especiais. Editora Espaço Jurídico. Março de 2004. Vol. 008. Pág. 34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2026-10-26T06:02:18.122Z</dcterms:created>
  <dcterms:modified xsi:type="dcterms:W3CDTF">2026-10-26T06:02:18.122Z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