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INSTITUIÇÃO FINANCEIRA</w:t>
      </w:r>
    </w:p>
    <w:p>
      <w:r>
        <w:rPr>
          <w:i/>
          <w:iCs/>
          <w:color w:val="666666"/>
        </w:rPr>
        <w:t xml:space="preserve">CÓDIGO DE DEFESA DO CONSUMIDOR</w:t>
      </w:r>
    </w:p>
    <w:p/>
    <w:p>
      <w:r>
        <w:rPr>
          <w:b/>
          <w:bCs/>
        </w:rPr>
        <w:t xml:space="preserve">Relator: </w:t>
      </w:r>
      <w:r>
        <w:t xml:space="preserve">Juíza Maria Cândida Gomes</w:t>
      </w:r>
    </w:p>
    <w:p/>
    <w:p>
      <w:r>
        <w:t xml:space="preserve">AUTOR CARECEDOR DE AÇÃO — EXTINÇÃO DO PROCESSO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386 - REINTEGRAÇÃO DE POSSE - EXTINÇÃO DO PROCESSO - AUTOR CARECEDOR DE AÇÃO. Ação de Reintegração de Posse. Terreno sem qualquer tipo de edificação ou plantação. Compromisso de compra e venda por instrumento particular, com que o autor instrui a inicial. Réu que reconhece não ter mais a posse do bem. Sentença extremamente bem elaborada que discorre sobre todos os requisitos dos interditos, reconhecendo que tanto o autor quanto o réu não os preenche. Decisão que conclui, com relação ao autor, pela improcedência, quando deveria extinguir o feito, sem julgamento do mérito, por ter faltado na hipótese uma condição específica para o exercício do direito de ação, já que nunca teve o autor posse direta do referido terreno, com bem asseverou a sentença. Recurso que, contudo, pretende a reforma da decisão para que se acolha a pretensão inicial e que merece ser improvido. - Pretendeu o autor a reintegração na posse de seu terreno c/c o recebimento de indenização moral, em razão de o referido espaço de terra ter sido, sem maiores explicações, invadido pelo réu, sob a alegação de que tal área a ninguém pertencia, procedendo ali à capina e a retirada de arbustos que existiam no local. - A parte reclamada apresentou peça de resistência às fls. 62/67, pugnando pela improcedência do pleito autoral, a uma, porque não logrou o autor comprovar ser possuidor do terreno em questão, a duas, porque, conforme se depreende do documento acostado a fl. 05, o reclamante não é o proprietário do lote guerreado, e, a três, porque, ao contrário do alegado na exordial, desde 1997 as partes já litigam a respeito do mesmo bem, nunca havendo o demandante tido a posse do terreno. Em pedido contraposto, pleitearam os demandados seja exarado mandado proibitório em face do autor, determinando que este não venha a turbar a posse dos réus. - A r. sentença de fls. 74/78 julgou improcedentes os pedidos iniciais e o contraposto. - Recurso da parte autora às fls. 83/87 repisando os clamores e argumentos já expostos na peça inaugural. - Contra-razões às fls. 91/98 clamando que os autores fiquem proibidos de fazer quaisquer atos de turbação contra os recorridos. DO VOTO - A sentença muito bem lançada abordou, à satisfação, todos os pontos relacionados à demanda, acabando por reconhecer que nem a parte autora, nem a parte ré, demonstraram ter exercido diretamente a posse, ou seja, não tiveram o exercício de qualquer dos poderes inerentes ao domínio ou propriedade. - Contudo, como se extrai do teor do artigo 927 do CPC, esta é uma condição específica para o exercício do direito da ação, de modo que sua ausência implica em reconhecer ser o autor carecedor de ação. - Por tal razão, somente no que toca àquela conclusão, da parte dispositiva da sentença, deve haver corrigenda, em relação ao autor, o que não implica em que, através de outras vias disponíveis no nosso ordenamento, ou mesmo no caso de futura modificação fática da situação do terreno, possa vir o reclamante a postular seus direitos. - Face ao exposto, voto pelo improvimento do recurso modificando, contudo, a conclusão final daquela sentença, de ofício, para processo, somente com relação ao autor, por ser o mesmo carecedor de ação. 2ª Turma Recursal Cível. Processo nº 2003.700.007527-8. Relatora: Juíza Maria Cândida Gomes de Souza. Sessão: 28/05/2003 Cadernos de Jurisprudência. Juizados Especiais. Editora Espaço Jurídico. Março de 2004. Vol. 008. Pág. 54 EMENTÁRIO FORENSE. Agosto, 2005. Ano LVII. Nº 681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2026-09-11T00:14:46.855Z</dcterms:created>
  <dcterms:modified xsi:type="dcterms:W3CDTF">2026-09-11T00:14:46.855Z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