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COBRANÇA PELO RITO ORDINÁRIO</w:t>
      </w:r>
    </w:p>
    <w:p/>
    <w:p>
      <w:r>
        <w:rPr>
          <w:b/>
          <w:bCs/>
        </w:rPr>
        <w:t xml:space="preserve">Recurso: </w:t>
      </w:r>
      <w:r>
        <w:t xml:space="preserve">RESP 319009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04/09/2002</w:t>
      </w:r>
    </w:p>
    <w:p/>
    <w:p>
      <w:r>
        <w:t xml:space="preserve">CITAÇÃO DO MUNICÍPIO — AUSÊNCIA - QUANDO NÃO HÁ NULIDADE DO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ação civil pública por ato de improbidade administrativa, quando o autor é o Ministério Público, pode o Município figurar no pólo ativo como litisconsorte facultativo (art. 17, § 3ª, da Lei 8.429/92, com a redação da Lei 9.366/96), não sendo, pois, hipótese de litisconsórcio necessário. - Se assim é, a falta de citação do Município interessado, por se tratar de litisconsorte facultativo, a teor do disposto no art. 17, parágrafo 3º, da Lei nº 8.429/92, com a nova redação dada pelo artigo 11 da Lei 9.366/96, não tem o condão de provocar a nulidade do processo. - À colação, mostra jurisprudencial coadunável: "ADMINISTRATIVO E PROCESSO CIVIL - AÇÃO CIVIL DE IMPROBIDADE (LEI 8.429/92). 1. omissis 2. Na ação civil por ato de improbidade, quando o autor é o Ministério Público, pode o Município figurar, no pólo ativo, como litisconsorte facultativo (art. 17, § 3ª, da Lei 8.429/92, com a redação da Lei 9.366/96), não sendo hipótese de litisconsórcio necessário. 3. Inexistência de cerceamento de defesa, segundo avaliação do Tribunal, estando o STJ impossibilitado de rever a prova (Súmula 7/STJ). 4. A multa imposta observou o valor da condenação, que rechaçou a possibilidade de liquidação por artigos, estando compatibilizada com a condenação. 5. Recurso especial improvido (STJ, 2ª. Turma, RESP 319009 / RO - Relatora a ilustre Ministra Eliana Calmon, julgado em 05/09/2002 e publicado no DJ de 04/11/2002, p. 180). "PROCESSUAL CIVIL E ADMINISTRATIVO - AÇÃO CIVIL PÚBLICA - IMPROBIDADE ADMINISTRATIVA - AUSÊNCIA DE CITAÇÃO DO MUNICÍPIO - LITISCONSÓRCIO FACULTATIVO - NULIDADE - INOCORRÊNCIA. 1. A falta de citação do Município interessado, por se tratar de litisconsorte facultativo, na ação civil pública declaratória de improbidade proposta pelo Ministério Público, não tem o condão de provocar a nulidade do processo. 2. Ainda que assim não fosse, permaneceria a impertinência subjetiva da alegação, haja vista que o beneficiário somente poderia nulificar o processo se descumpridas garantias que lhe trouxessem prejuízo. Princípio da Instrumentalidade das Formas, no sentido de que "não há nulidade sem prejuízo" (art. 244, do CPC). 3. A solução acerca da validade do contrato é uniforme para todos os partícipes do negócio jurídico inquinado de ilegal, por isso que, a defesa levada a efeito pelo Subsecretário e pelo próprio Prefeito, legitimados passivos, por força do pedido condenatório, serviu, também, à Municipalidade, em razão da "Unitariedade do Litisconsórcio" em função do qual a decisão homogênea implica em que os atos de defesa aproveitem a todos os litisconsortes. É o que se denomina de "regime de interdependência dos litisconsortes" no denominado litisconsórcio unitário. 4. Com a promulgação da Constituição Federal de 1988, houve alargamento do campo de atuação do Parquet que, em seu art. 129, III, prevê, como uma das funções institucionais do Ministério Público a legitimidade para promover o inquérito civil e a ação civil pública para a proteção do patrimônio público e social, do meio ambiente e de outros direitos difusos e coletivos. 5. O Ministério Público está legitimado a defender os interesses transindividuais, quais sejam os difusos, os coletivos e os individuais homogêneos. 6. "In casu", a ação civil pública foi intentada para anular contrato firmado sem observânci a de procedimento licitatório cujo objeto é a prestação de serviços de fiscalização, arrecadação e cobrança do IPVA, bem como reivindicar o ressarcimento causado ao erário. Nesses casos o que se pretende não é só a satisfação de interesses da coletividade em ver solucionado casos de malversação de verbas públicas, mas também o interesse do erário público. 7. O recorrente não apontou o dispositivo que entendeu violado, no que se refere ao alegado prejuízo a ele ocasionado, restando, assim, deficiente a fundamentação desenvolvida, neste ponto, atraindo a incidência do verbete sumular n.º 284, do STF. 8. A alegação de que a atividade da contratada não se reveste de cunho fiscalizatório de tributo não tem o condão de legitimar a não observância do procedimento licitatório, vale dizer, o fato de existir previsão legal de formação de convênio entre Estado e Município para facilitar a atividade fiscalizatória do fisco, o que não ocorreu, conforme noticiado pelo Ministério Público, não significa afirmar que uma empresa pode ser contratada para prestação de serviços sem prévia licitação. 9. A averiguação de enquadramento da empresa recorrente em algum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teor do disposto no artigo 17, parágrafo 3º, da Lei 8.429/92, com a nova redação dada pelo artigo 11 da Lei 9.366/96, na ação civil pública por ato de improbidade administrativa, quando o autor é o Ministério Público, pode o Município figurar no pólo ativo como litisconsorte facultativo, não sendo hipótese de litisconsórcio necessário. - Se assim é, a falta de citação do Município interessado, - por se tratar de litisconsórcio facultativo -, não acarreta a nulidade do processo.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2026-07-28T01:53:23.304Z</dcterms:created>
  <dcterms:modified xsi:type="dcterms:W3CDTF">2026-07-28T01:53:23.304Z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