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LIQUIDAÇÃO EXTRAJUDICIAL</w:t>
      </w:r>
    </w:p>
    <w:p>
      <w:r>
        <w:rPr>
          <w:i/>
          <w:iCs/>
          <w:color w:val="666666"/>
        </w:rPr>
        <w:t xml:space="preserve">JUROS E CORREÇÃO MONETÁRIA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AJUDA DE CUSTO — INTEGRAÇÃO AO SALÁRIO - INCLUSÃO NA BASE DE CÁLCULO DO SALÁRIO-CONTRIBUIÇÃO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Consoante é de sabença, a Previdência Social é instrumento de política social do governo, sendo certo que sua finalidade primeira é a manutenção do nível de renda do trabalhador em casos de infortúnios ou de aposentadoria, abrangendo atividades de seguro social definidas como aquelas destinadas a amparar o trabalhador nos eventos previsíveis ou não, como velhice, doença, invalidez, aposentadorias, pensões, auxílio-doença e auxílio-acidente do trabalho, além de outros benefícios ao trabalhador. - Por seu turno, o artigo 195, § 5º da Carta Magna, determina que nenhum benefício ou serviço da seguridade social poderá ser criado, majorado ou estendido sem a correspondente fonte de custeio total. Assim, a concessão dos benefícios restaria inviável não houvesse contraprestação que assegurasse a fonte de custeio. - Como é cediço, o sistema de previdência social vem sendo reformulado no afã de imprimir uma melhor distribuição de rendas, bem como reduzidas as desigualdades sociais, como revelou-se o escopo da Emenda Constitucional nº 20 de 15.12.98, que trouxe novos contornos à Previdência Social, que assim dispõe, "in verbis": "Art. 201. A previdência social será organizada sob a forma de regime geral, de caráter contributivo e de filiação obrigatória, observados critérios que preservem o equilíbrio financeiro e atuarial, e atenderá, nos termos da lei a: I - cobertura dos eventos de doença, invalidez morte e idade avançada; II - proteção à maternidade, especialmente à gestante; III - proteção ao trabalhador em situação de desemprego involuntário; IV - salário-família e auxílio-reclusão para os dependentes dos segurados de baixa renda; V - pensão por morte do segurado, homem ou mulher, cônjuge ou companheiro e dependentes, observado o disposto no § 2º." - Por outro lado, o art. 28 da Lei 8.212/91 preceitua que: "Art. 28. Entende-se por salário-de-contribuição: I - para o empregado e trabalhador avulso: a remuneração efetivamente recebida ou creditada a qualquer título, durante o mês em uma ou mais empresas, inclusive os ganhos h abituais sob a forma de utilidades, ressalvado o disposto no § 8° e respeitados os limites dos §§ 3°, 4° e 5° deste artigo; II - para o empregado doméstico: a remuneração registrada na Carteira de Trabalho e Previdência Social, observadas as normas a serem estabelecidas em regulamento para a comprovação do vínculo empregatício e do valor da remuneração; III - para o trabalhador autônomo e equiparado, empresário e facultativo: o salário-base, observado o disposto no art. 29. 1° Quando a admissão, a dispensa, o afastamento ou a falta do empregado ocorrer no curso do mês, o salário-de-contribuição será proporcional ao número de dias de trabalho efetivo, na forma estabelecida em regulamento. 2° O salário-maternidade é considerado salário-de-contribuição. 3° O limite mínimo do salário-de-contribuição é de um salário-mínimo, tomado no seu valor mensal, diário ou horário, conforme o ajustado e o tempo de trabalho efetivo durante o mês. 4° O limite mínimo do salário-de-contribuição do menor aprendiz corresponde à sua remuneração mínima definida em lei. 5° O limite máximo do salário-de-contribuição é de Cr$170.000,00 (cento e setenta mil cruzeiros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Previdência Social é instrumento de política social do governo, sendo certo que sua finalidade primeira é a manutenção do nível de renda do trabalhador em casos de infortúnios ou de aposentadoria, abrangendo atividades de seguro social definidas como aquelas destinadas a amparar o trabalhador nos eventos previsíveis ou não, como velhice, doença, invalidez: aposentadorias, pensões, auxílio-doença e auxílio-acidente do trabalho, além de outros benefícios ao trabalhador - A concessão dos benefícios restaria inviável não houvesse uma contraprestação que assegurasse a fonte de custeio. - Consectariamente, o fato ensejador da contribuição previdenciária não é a relação custo-benefício e sim a natureza jurídica da parcela percebida pelo servidor, que encerra verba recebida em virtude de prestação do serviço. - Tratando-se de uma reparação pelos gastos efetuados pelo empregado para a realização do serviço no interesse do empregador, a ajuda de custo tem natureza indenizatória, não se integrando ao salário. Incorporar-se-á a este, todavia, quando impropriamente paga de forma habitual, como contraprestação pelo serviço realizado. - Hipótese em que as verbas pagas pelo Banco Mercantil do Brasil aos seus empregados a título de ajuda de custo para deslocamento ostentam caráter habitual àqueles cuja jornada de trabalho termine entre meia-noite e seis horas, e não natureza de reembolso das despesas efetuadas por estes para o transporte, tanto que a verba é concedida cumulativamente com o vale-transporte, este sim não sujeito à tributação, na forma do art. 28, § 9º, f, da Lei 8.212/91. - Forçoso, assim, concluir que as mencionadas verbas integraram os salários dos empregados, atraindo a incidência, sobre elas, da contribuição previdenciária.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2026-07-28T04:30:07.918Z</dcterms:created>
  <dcterms:modified xsi:type="dcterms:W3CDTF">2026-07-28T04:30:07.918Z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