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Juíza Cristina Serra Feijó</w:t>
      </w:r>
    </w:p>
    <w:p/>
    <w:p>
      <w:r>
        <w:t xml:space="preserve">FALHA NO SISTEMA DE REFRIGERAÇÃO — TROCA DE VEÍCULO - DANO MORAL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505 - TROCA DE VEÍCULO EM VIAGEM RODOVIÁRIA - FALHA NO SISTEMA DE REFRIGERAÇÀO - INOCORRÊNCIA DE DANO MORAL. Viagem rodoviária. Troca de veículo meia hora após a partida, pela constatação de falha no sistema de refrigeração. Inocorrência de qualquer dano aos passageiros. Qualquer sistema pode falhar e o dever de indenizar não decorre de mera falha, mas da inércia do responsável em repará-la. Tendo havido a troca do ônibus tão logo percebido o defeito do sistema, não há dano a ser indenizado. Conheço e dou provimento ao recurso para julgar improcedente o pedido. Processo nº 2003.700.019722-0. Primeira Turma Recursal Cível. Relator: Juíza Cristina Serra Feijó. Julgamento: 17/10/2003. Cadernos de Jurisprudência. Juizados Especiais. Editora Espaço Jurídico. Dezembro de 2004. Vol. 011. Pág. 08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2026-10-26T04:35:09.821Z</dcterms:created>
  <dcterms:modified xsi:type="dcterms:W3CDTF">2026-10-26T04:35:09.821Z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