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Juíza Cristina Serra Feijó</w:t>
      </w:r>
    </w:p>
    <w:p/>
    <w:p>
      <w:r>
        <w:t xml:space="preserve">FALHA NO SISTEMA DE REFRIGERAÇÃO — TROCA DE VEÍCULO - DANO MORAL -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505 - TROCA DE VEÍCULO EM VIAGEM RODOVIÁRIA - FALHA NO SISTEMA DE REFRIGERAÇÀO - INOCORRÊNCIA DE DANO MORAL. Viagem rodoviária. Troca de veículo meia hora após a partida, pela constatação de falha no sistema de refrigeração. Inocorrência de qualquer dano aos passageiros. Qualquer sistema pode falhar e o dever de indenizar não decorre de mera falha, mas da inércia do responsável em repará-la. Tendo havido a troca do ônibus tão logo percebido o defeito do sistema, não há dano a ser indenizado. Conheço e dou provimento ao recurso para julgar improcedente o pedido. Processo nº 2003.700.019722-0. Primeira Turma Recursal Cível. Relator: Juíza Cristina Serra Feijó. Julgamento: 17/10/2003. Cadernos de Jurisprudência. Juizados Especiais. Editora Espaço Jurídico. Dezembro de 2004. Vol. 011. Pág. 08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2026-07-28T02:21:30.866Z</dcterms:created>
  <dcterms:modified xsi:type="dcterms:W3CDTF">2026-07-28T02:21:30.866Z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