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Relator: </w:t>
      </w:r>
      <w:r>
        <w:t xml:space="preserve">Carlos Gustavo Vianna Direito</w:t>
      </w:r>
    </w:p>
    <w:p/>
    <w:p>
      <w:r>
        <w:t xml:space="preserve">RESTITUIÇÃO EM DOBRO —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518 - ALUGUERES ATRASADOS E HONORÁRIOS ADVOCATÍCIOS COBRADOS EXTRAJUDICIALMENTE - RESTITUIÇÃO EM DOBRO - RECURSO CONHECIDO E DESPROVIDO. Recurso inominado. Autora que pede a restituição em dobro dos valores pagos indevidamente a título de multa moratória de alugueres atrasados cobrados extrajudicialmente. Parte ré que aduz sua ilegitimidade passiva quanto a restituição dos honorários cobrados e quanto a multa cobrada. Sentença que julga extinto o feito em relação às multas cobradas por ilegitimidade passiva e julga procedente o pedido de restituição dos honorários advocatícios igualmente cobrados. Sentença que corretamente reconhece a solidariedade passiva entre a ré e a empresa de cobrança extrajudicial. Cobrança de honorários advocatícios extrajudiciais que se mostra abusiva a teor do disposto nos artigos 14, 34 e 51, IV, do CDC. Terceirização do serviço de cobrança que não exime a responsabilidade da administradora de arcar com as verbas ilegalmente cobradas da locatária a título de honorários advocatícios extrajudiciais. Restituição em dobro, nos termos do parágrafo único do artigo 42 do CDC. Preclusão lógica que é matéria processual estranha à relação de direito material existente entre a autora e a ré. Recurso conhecido e desprovido. Honorários de 10% sobre o valor da condenação. Processo nº 2003.700.022362-0. Segunda Turma Recursal Cível. Relator: Juiz Carlos Gustavo Vianna Direito. Julgamento: 29/10/2003. Cadernos de Jurisprudência. Juizados Especiais. Editora Espaço Jurídico. Dezembro de 2004. Vol. 011. Pág. 21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2026-10-26T05:56:40.871Z</dcterms:created>
  <dcterms:modified xsi:type="dcterms:W3CDTF">2026-10-26T05:56:40.871Z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