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INCONSTITUCIONALIDADE DE LEI</w:t>
      </w:r>
    </w:p>
    <w:p>
      <w:r>
        <w:rPr>
          <w:i/>
          <w:iCs/>
          <w:color w:val="666666"/>
        </w:rPr>
        <w:t xml:space="preserve">DECISÕES RESPECTIVAS</w:t>
      </w:r>
    </w:p>
    <w:p/>
    <w:p>
      <w:r>
        <w:rPr>
          <w:b/>
          <w:bCs/>
        </w:rPr>
        <w:t xml:space="preserve">Recurso: </w:t>
      </w:r>
      <w:r>
        <w:t xml:space="preserve">RE 29771-4-</w:t>
      </w:r>
    </w:p>
    <w:p>
      <w:r>
        <w:rPr>
          <w:b/>
          <w:bCs/>
        </w:rPr>
        <w:t xml:space="preserve">Tribunal: </w:t>
      </w:r>
      <w:r>
        <w:t xml:space="preserve">STJ</w:t>
      </w:r>
    </w:p>
    <w:p>
      <w:r>
        <w:rPr>
          <w:b/>
          <w:bCs/>
        </w:rPr>
        <w:t xml:space="preserve">Relator: </w:t>
      </w:r>
      <w:r>
        <w:t xml:space="preserve">FONTES DE ALENCAR</w:t>
      </w:r>
    </w:p>
    <w:p/>
    <w:p>
      <w:r>
        <w:t xml:space="preserve">NOVAS REGRAS — APLICAÇÃO RETROATIVA - IMPOSSIBILIDADE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........................................................ - A predominante jurisprudência da Corte, já agora com o sufrágio do colendo Superior Tribunal de Justiça, restou pacificada no sentido de que iniciada ou renovada a caderneta de poupança, é inadmissível a incidência de regras que alterem, no trintídio, o índice de correção monetária. - Daí porque o art. 17 da Lei 7.730/89 não tem aplicação às contas com período mensal iniciado até 15 de janeiro de 1989, ainda que completado até 15 de fevereiro seguinte (RE 29771-4-RS - 4ª Turma do STJ - Rel. Ministro FONTES DE ALENCAR), em homenagem ao princípio da irretroatividade e em respeito ao direito adquirido do poupador. - Face ao exposto, nega-se provimento ao recurso. Ac. de 29-06-1995 VENCIDO A DESEMBARGADORA AUREA PIMENTEL PEREIRA Arquivo do EMFOR - TJ\2.606 EMFOR 565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Iniciada ou renovada a caderneta de poupança, é inadmissível a incidência de regras que alterem, no trintídio, o índice de correção monetária então vigente. Direito adquirido do poupador, a impedir a aplicação retroativa de novas regras.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2026-09-10T23:19:55.977Z</dcterms:created>
  <dcterms:modified xsi:type="dcterms:W3CDTF">2026-09-10T23:19:55.977Z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