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29771-4-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FONTES DE ALENCAR</w:t>
      </w:r>
    </w:p>
    <w:p/>
    <w:p>
      <w:r>
        <w:t xml:space="preserve">NOVAS REGRAS — APLICAÇÃO RETROATIVA -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........................................................ - A predominante jurisprudência da Corte, já agora com o sufrágio do colendo Superior Tribunal de Justiça, restou pacificada no sentido de que iniciada ou renovada a caderneta de poupança, é inadmissível a incidência de regras que alterem, no trintídio, o índice de correção monetária. - Daí porque o art. 17 da Lei 7.730/89 não tem aplicação às contas com período mensal iniciado até 15 de janeiro de 1989, ainda que completado até 15 de fevereiro seguinte (RE 29771-4-RS - 4ª Turma do STJ - Rel. Ministro FONTES DE ALENCAR), em homenagem ao princípio da irretroatividade e em respeito ao direito adquirido do poupador. - Face ao exposto, nega-se provimento ao recurso. Ac. de 29-06-1995 VENCIDO A DESEMBARGADORA AUREA PIMENTEL PEREIRA Arquivo do EMFOR - TJ\2.606 EMFOR 565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Iniciada ou renovada a caderneta de poupança, é inadmissível a incidência de regras que alterem, no trintídio, o índice de correção monetária então vigente. Direito adquirido do poupador, a impedir a aplicação retroativa de novas regras.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2026-06-17T14:06:52.462Z</dcterms:created>
  <dcterms:modified xsi:type="dcterms:W3CDTF">2026-06-17T14:06:52.462Z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