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DECISÕES RESPECTIVAS</w:t>
      </w:r>
    </w:p>
    <w:p/>
    <w:p>
      <w:r>
        <w:rPr>
          <w:b/>
          <w:bCs/>
        </w:rPr>
        <w:t xml:space="preserve">Recurso: </w:t>
      </w:r>
      <w:r>
        <w:t xml:space="preserve">REsp 51.935-5</w:t>
      </w:r>
    </w:p>
    <w:p/>
    <w:p>
      <w:r>
        <w:t xml:space="preserve">DIFERENÇAS — JANEIRO DE 1989 - ÍNDICE APLICÁVEL - PLANO VERÃO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verdade, o pedido é de ser acolhido, apenas em parte, pois o índice apurado para a correção monetária do mês de janeiro de 1989 é de 42,72% e não o solicitado na inicial (70,28%). - O "thema decidendum" sobre a constitucionalidade ou não do texto legal em discussão e que foi objeto das considerações da sentença apelada, mereceu deste Tribunal no Egrégio Órgão Especial, solução conflitante: enquanto na Argüição Incidental nº 08/95, se concluiu pela inconstitucionalidade ao art. 17, da Lei nº 7.730/89, em outro julgado se entendeu que o problema seria resolvido no campo da interpretação normativa da infra-constitucional. - Como quer que seja, o comando emergente do art. 5º XXXVI, da Constituição Federal, dirigiu-se ao legislador ordinário, o qual, assim ficou impedido de ditar regras que, aplicadas retroativamente, poderiam ofender direitos adquiridos e atos jurídicos perfeitos, celebrados antes de sua entrada em vigor. - A Constituição não excepcionou as chamadas leis de estabilização monetária e, assim, qualquer lei, ao entrar em vigor, terá efeito geral e imediato (Lei de Introdução ao Código Civil, art. 6º), mas não poderá comandar para o pretérito, sob pena de, com isso, ferir-se o preceito constitucional. - Na espécie dos autos, inegável que a aplicação do art. 17, ao mês de janeiro/89, atingiria ao contrato já celebrado, o que urge evitar-se, sob pena de ferir-se o assinalado imperativo constitucional. - Assim, não podendo ser alterada a regra do contrato, tem-se que o pedido inicial é procedente, mas não nos termos solicitados, isso porque, conforme foi decidido pelo Egrégio Superior Tribunal de Justiça, nos Embargos de Divergência no REsp nº 51.935-5 SP, em que foi relator o Min. EDUARDO RIBEIRO, o índice reconhecido da inflação do mês de janeiro de 1989, foi de 42,72% e não de 70,28%, como pleiteado na inicial. - O referido acórdão tem a seguinte ementa: "Correção monetária. Janeiro de 1989. Entendimento firme do Superior Tribunal de Justiça, no sentido de adotar-se como fator de atualização, o índice de 1,4272. Necessidade, entretanto, de proceder ao ajuste, quanto ao mês subseqüente, em que o cálculo da correção compreendeu período menor que trinta dias. Março de 1990. Possibilidade de adotar-se o que melhor reflita a real variação dos preços, como IPC". - É necessário ser salientado que a correção monetária da conta da apelante era disciplinada pelo art. 12, do Decreto-lei nº 2.284, de 10.03.86, em conjunto com o Decreto-lei nº 2.311, de 23.12.86, que modificou a sua redação acrescentando-lhe três parágrafos, que, acerca do índice indexador assim estipula: "Art. 12 - ........................................................................................................................................ § 1º - ............................................................................................................................................ § 2º - Os saldos do FGTS, do Fundo de Participação PIS/PASEP e das cadernetas de poupança serão a partir de 1º de dezembro de 1989 até o dia 28 de fevereiro de 1987, corrigidos pelo índice de Preços ao Consumidor - IPC, ou pelos rendimentos das Letras do Banco Central, adotando-se, mês a mês, o índice que maior resultado obtiver". - É inegável que ao retroagir seus efeitos, a Medida Provisória nº 38/89, revertida na Lei nº 7.730/89, ofendeu uma situação já constituída, quando adotou critério diferente de correção monetária para as cedentes de poupança do mês em que ainda vigia a OTN. - O direito da apelante está, portanto, embasado no ato jurídico perfeito, não podendo lei posterior modificar a situação já constituída. - A aplicação da Medida Provisória nº 32/89 aos contratos de poupança iniciados até o dia 16.01.89 foi eivada de ilegalidade e ineficácia, pois acarretou lesão ao direito da depositante que havia contratado como índice indexador o IPC verificado em janeiro de 1989. - Por tratar-se de depósito bancário a 30 (trinta) dias, com promessa de recompensa (art. 1.512 do Código Civil) pelo índice indexador IPC como fator de remuneração à época dos depósitos ou de suas renovações, sua substituição à revelia da autora pelo índice indexador das LFT, com aplicação retroativa da lei, constitui arbítrio e violação de direito adquirido, o que contraria o disposto no inc. XXXVI do art. 5º da Constituição Federal. - Por tais circunstâncias, tem-se que os argumentos da sentença apelada não se sustentam. - Daí o provimento do recurso para julgar procedente, em par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índice de correção monetária para o mês de janeiro de 1989 é de 42, 72% e não de 70,28%, como pretendido.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2026-09-10T23:19:44.387Z</dcterms:created>
  <dcterms:modified xsi:type="dcterms:W3CDTF">2026-09-10T23:19:44.387Z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