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DECISÕES RESPECTIVAS</w:t>
      </w:r>
    </w:p>
    <w:p/>
    <w:p/>
    <w:p>
      <w:r>
        <w:t xml:space="preserve">MORA NA QUITAÇÃO EM CARTÓRIO DE PROTESTO — DIREITO A INDENIZAÇÃO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efeito, em época de acentuada inflação, com perda quase diária do valor de aquisição ou liberação da moeda, o devedor que paga dívida líquida, certa e a termo, fora do termo ajustado, sem a recomposição monetária da prestação, não solve a dívida e não se libera. - No caso em julgamento, a devedora, ora recorrida, paga em Cartório de Registro de Protestos duplicatas de sua responsabilidade com um atraso de 60 dias em uma e 59 em outra, sem a devida correção monetária. - Induvidosamente, portanto, não solveu integralmente sua obrigação cambial, permanecendo, consequentemente, vinculada à credora, pelo insatisfatório adimplemento, dispondo esta de ação para dela exigir a complementação. - Por outro lado, venia concessa, equivocou-se o Juízo de 1º grau, quando, evocando o art. 945 do CC, declarou a decadência do direito da credora de demandar pela recomposição de sua perda de corrente do pagamento formalizado com dilatado atraso. - Na espécie, não se cuida, como entendeu aquele juiz, de ilidir a presunção de pagamento, decorrente de injustificada posse do título, pelo devedor inadimplente, de que se ocupa aquele artigo. - Ao converso, busca a autora, no exercício de um direito pessoal, em ação ordinária de indenização, recompor seu patrimônio, sensivelmente desfalcado pelo pagamento de uma obrigação líquida, certa e a termo, em época inteiramente diversa daquela com a devedora ajustada. - Com estes fundamentos dou provimento ao recurso para, invertendo os encargos da sucumbência, acolhendo o pedido da autora, condenar a ré a pagar-lhe, com juros e correção, e segundo o que se apurar em liquidação, a diferença entre o valor monetariamen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pagamento de dívida líquida e certa, efetuado em cartório de protesto fora do termo ajustado, sem a recomposição monetária da prestação, gera para o credor direito à indenização, não havendo de se invocar o art. 945 do CC.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2026-09-10T23:20:13.351Z</dcterms:created>
  <dcterms:modified xsi:type="dcterms:W3CDTF">2026-09-10T23:20:13.351Z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