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Relator: </w:t>
      </w:r>
      <w:r>
        <w:t xml:space="preserve">Horácio dos</w:t>
      </w:r>
    </w:p>
    <w:p/>
    <w:p>
      <w:r>
        <w:t xml:space="preserve">REGISTRO E TRANSFERÊNCIA NO DETRAN NÃO EFETUADOS — DANOS DECORRENTES - DEVER DE INDENIZAR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588 - OBRIGAÇÃO DE FAZER - COMPRADOR DE VEÍCULO QUE NÃO TRANSFERE CARRO PARA O SEU NOME - MULTAS E PERDA DE PONTOS - DANO MORAL. Se, em razão da omissão do comprador de transferir para seu nome veículo adquirido, o autor vem a receber multas com perda de pontos em seu prontuário de motorista, há dano moral a ser indenizado, face ao abalo psíquico e mesmo ofensa à honra. Condenação que não é excessiva, ante seu caráter pedagógico-punitivo. Recurso a que se nega provimento. Relatório: Na exordial, afirma o autor que era arrendatário do veículo marca GM, modelo Vectra GLS, sendo arrendadora a Cia Itaú Leasing de Arrendamento Mercantil. Informa que, com sua anuência, foi o veículo vendido pela arrendadora para a empresa ré, que seria a responsável pela transferência do veículo junto ao Detran. Ocorre que o carro já foi vendido para um terceiro, desconhecido do autor, porém, continua em seu nome, pois têm sido encaminhadas para sua residência várias multas, já totalizadas em R$ 1.347,97, estando o autor prestes a perder sua habilitação. Requer a condenação da ré a proceder à transferência do veículo junto ao Detran, ao pagamento das multas e IPVA de 2002 e ainda em providenciar a retirada das anotações em sua carteira, condenando-se ainda a ré a indenizar-lhe os danos morais sofridos. A r. sentença de fl. 35/, 3 julgou extintos sem apreciação do mérito os pedidos de condenação em obrigação de fazer, que já foram atendidos pela empresa ré, julgando procedente o pedido indenizatório para condenar a ré a pagar ao autor R$ 4.000,00 (quatro mil reais) a título de indenização por dano moral, corrigido monetariamente, incidindo juros de 0,5% ao mês a partir da citação. Recorre a ré a fl. 60/69. Sustenta culpa exclusiva do recorrido, que não comunicou ao órgão executivo de trânsito a transferência de responsabilidade das multas/infrações. Alega a inexistência de prova do dano moral. Requer o provimento do recurso para julgar-se improcedente o pedido ou reduzir-se a condenação para 05 salários mínimos. As contra-razões de fl. 73/76 prestigiam o julgado e pleiteiam a majoração da indenização. É o relatório. Voto: O recurso é adequado, tempestivo e regularmente preparado. Voto por seu conhecimento. Descabe o pedido de majoração feito em contra-razões. Para tanto, deveria ter o autor recorrido. No mais, não há dúvida da conduta ilícita por parte da recorrente destacando-se que a obrigação de proceder à transferência da propriedade é do adquirente, na forma do artigo 123, I, CTB, sendo a comunicação de venda feita pelo alienante mera faculdade sua para eximir-se da responsabilidade prevista no próprio artigo 134 CTB. Presentes ainda os danos morais. A uma, porque ofenda à honra do motorista a pontuação indevida. Atribui-se-lhe a pecha de mau cumpridor das regras de trânsito, incapaz de portar-se dentro de um parâmetro de comportamento civilizado. A duas, porque ofende à sua incolumidade psíquica, sendo fonte de angústia, tristeza e sofrimento a pessoa deparar-se com várias multas e vários pontos perdidos por veículo que já que não é mais seu. O valor fixado não é excessivo, bem atendendo aos parâmetros da razoabilidade e da proporcionalidade, destacando-se o caráter pedagógico-punitivo da condenação (uma vez por todas, é hora de as agências de automóveis, seguradoras e consórcios começarem a transferir os veículos adquiridos ou recuperados para seus nomes!). Isto posto, voto pelo conhecimento e desprovimento do recurso, condenando-se a recorrente nas custas processuais e em honorários advocatícios 20% do valor da condenação. Processo nº. 2003.700.005310-6. Comarca da Capital Conselho Recursal dos Juizados Especiais Cíveis e Criminais. Relator: Juiz Horácio dos Santos Ribeiro Neto. Julgamento: 29/05/2003. Cadernos de Jurisprudência. Juizados Especiais. Editora Espaço Jurídico. Março de 2005. Vol. 12.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2026-10-26T05:00:55.564Z</dcterms:created>
  <dcterms:modified xsi:type="dcterms:W3CDTF">2026-10-26T05:00:55.564Z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