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>
      <w:r>
        <w:rPr>
          <w:b/>
          <w:bCs/>
        </w:rPr>
        <w:t xml:space="preserve">Recurso: </w:t>
      </w:r>
      <w:r>
        <w:t xml:space="preserve">RE 104.656</w:t>
      </w:r>
    </w:p>
    <w:p/>
    <w:p>
      <w:r>
        <w:t xml:space="preserve">APLICAÇÃO A PARTIR DA LEI QUE A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Dilucida-se, a correção monetária, " in casu", não recaiu sobre período anterior à data em que passou a viger a Lei nº 6.899, de 08-04-81. - O despacho agravado manda incidí-la a partir do momento em que a mesma foi instituída. - Neste sentido o relanço da ementa do RE nº 104.656, verbis: ... A correção monetária incide, nas dívidas resultantes de decisão judicial, a partir da data da vigência da lei que a instituir&gt;&gt;. (in D.J. 05-09-86, p. 15.836). - Pouca valia merece o fato de a sentença e o acórdão desta Câmara serem anteriores à lei, posto que a correção atinge as ações em trâmite, de conhecimento ou de execução, sabendo-se ainda que a execução não exclui o conceito de lide pendente. - Demais, o retardo no início da liquidação da sentença não pode ser debitado apenas à inércia dos exequentes-recorridos, desde que ao executado, ora recorrente, competia também dar impulso ao processo de execução, ex vi do art. 570 do Código de Processo Civil. Ac. de 09-05-1987 Arquivo do EMFOR, TA/820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sentença e o acórdão sejam anteriores à Lei 6.899/81, o principal deve ser corrigido monetariamente a contar da vigência do referido diploma legal. Precedentes do S.T.F. O retardo no início da liquidação da sentença, debita-se também ao executado, ao qual competia dar impulso ao processo de execução, &lt;&lt;ex vi&gt;&gt; do art. 570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2026-10-26T04:15:14.519Z</dcterms:created>
  <dcterms:modified xsi:type="dcterms:W3CDTF">2026-10-26T04:15:14.519Z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