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104.656</w:t>
      </w:r>
    </w:p>
    <w:p/>
    <w:p>
      <w:r>
        <w:t xml:space="preserve">APLICAÇÃO A PARTIR DA LEI QUE A AUTORIZA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Dilucida-se, a correção monetária, " in casu", não recaiu sobre período anterior à data em que passou a viger a Lei nº 6.899, de 08-04-81. - O despacho agravado manda incidí-la a partir do momento em que a mesma foi instituída. - Neste sentido o relanço da ementa do RE nº 104.656, verbis: ... A correção monetária incide, nas dívidas resultantes de decisão judicial, a partir da data da vigência da lei que a instituir&gt;&gt;. (in D.J. 05-09-86, p. 15.836). - Pouca valia merece o fato de a sentença e o acórdão desta Câmara serem anteriores à lei, posto que a correção atinge as ações em trâmite, de conhecimento ou de execução, sabendo-se ainda que a execução não exclui o conceito de lide pendente. - Demais, o retardo no início da liquidação da sentença não pode ser debitado apenas à inércia dos exequentes-recorridos, desde que ao executado, ora recorrente, competia também dar impulso ao processo de execução, ex vi do art. 570 do Código de Processo Civil. Ac. de 09-05-1987 Arquivo do EMFOR, TA/820 EMFOR 472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Embora a sentença e o acórdão sejam anteriores à Lei 6.899/81, o principal deve ser corrigido monetariamente a contar da vigência do referido diploma legal. Precedentes do S.T.F. O retardo no início da liquidação da sentença, debita-se também ao executado, ao qual competia dar impulso ao processo de execução, &lt;&lt;ex vi&gt;&gt; do art. 570 do CPC.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2026-09-11T00:11:33.953Z</dcterms:created>
  <dcterms:modified xsi:type="dcterms:W3CDTF">2026-09-11T00:11:33.953Z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