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RS</w:t>
      </w:r>
    </w:p>
    <w:p>
      <w:r>
        <w:rPr>
          <w:i/>
          <w:iCs/>
          <w:color w:val="666666"/>
        </w:rPr>
        <w:t xml:space="preserve">ÓRGÃO ESPECIAL - ENUNCIADOS</w:t>
      </w:r>
    </w:p>
    <w:p/>
    <w:p>
      <w:r>
        <w:rPr>
          <w:b/>
          <w:bCs/>
        </w:rPr>
        <w:t xml:space="preserve">Recurso: </w:t>
      </w:r>
      <w:r>
        <w:t xml:space="preserve">Apelação Cível .</w:t>
      </w:r>
    </w:p>
    <w:p>
      <w:r>
        <w:rPr>
          <w:b/>
          <w:bCs/>
        </w:rPr>
        <w:t xml:space="preserve">Relator: </w:t>
      </w:r>
      <w:r>
        <w:t xml:space="preserve">Fabrício Paulo B</w:t>
      </w:r>
    </w:p>
    <w:p/>
    <w:p>
      <w:r>
        <w:t xml:space="preserve">78. GRATIFICAÇÃO DE ENCARGOS ESPECIAIS — OFICIAL DA POLÍCIA MILITAR - EXTENSÃO DO BENEFÍCIO -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78 "A gratificação de encargos especiais concedida aos coronéis da ativa da Polícia Militar e do Corpo de Bombeiros do Estado do Rio de Janeiro, por ato administrativo do Chefe do Poder Executivo, exarado no Processo Administrativo n.º E - 12/790/94, não se estende aos demais militares das referidas corporações, ativos ou inativos." Referência : Uniformização de Jurisprudência n.º 2004.018.00013 na Apelação Cível n.º 2004.001.18002 - Julgamento em 30/05/2005 - Votação: unânime - Relator: Des. Fabrício Paulo B. Bandeira Filho - Registro de Acórdão em 21/06/2005 - fls. 5654/5658. EMENTÁRIO FORENSE. Dezembro, 2005. Ano LVII. Nº 685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2026-09-10T22:12:27.647Z</dcterms:created>
  <dcterms:modified xsi:type="dcterms:W3CDTF">2026-09-10T22:12:27.647Z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