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Relator: </w:t>
      </w:r>
      <w:r>
        <w:t xml:space="preserve">Sérgio Cavalieri Filho</w:t>
      </w:r>
    </w:p>
    <w:p/>
    <w:p>
      <w:r>
        <w:t xml:space="preserve">79. ASSOCIAÇÃO DE MORADORES — CONDOMÍNIO DE FATO - COBRANÇA DE DESPESAS COMUNS - PRINCIPIO DO NÃO ENRIQUECIMENTO SEM CAUSA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79 "Em respeito ao princípio que veda o enriquecimento sem causa, as associações de moradores podem exigir dos não associados, em igualdade de condições com os associados, que concorram para o custeio dos serviços por elas efetivamente prestados e que sejam do interesse comum dos moradores da localidade." Referência : Uniformização de Jurisprudência n.º 2004.018.00012 na Apelação Cível n.º 2004.001.13327 - Julgamento em 04/04/2005- Votação: por maioria - Relator: Des. Sérgio Cavalieri Filho - Registro de Acórdão em 15/07/2005 - fls. 6469/6487.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2026-10-26T02:13:16.937Z</dcterms:created>
  <dcterms:modified xsi:type="dcterms:W3CDTF">2026-10-26T02:13:16.937Z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