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RS</w:t>
      </w:r>
    </w:p>
    <w:p>
      <w:r>
        <w:rPr>
          <w:i/>
          <w:iCs/>
          <w:color w:val="666666"/>
        </w:rPr>
        <w:t xml:space="preserve">ÓRGÃO ESPECIAL - ENUNCIADOS</w:t>
      </w:r>
    </w:p>
    <w:p/>
    <w:p>
      <w:r>
        <w:rPr>
          <w:b/>
          <w:bCs/>
        </w:rPr>
        <w:t xml:space="preserve">Relator: </w:t>
      </w:r>
      <w:r>
        <w:t xml:space="preserve">Álvaro Mayrink</w:t>
      </w:r>
    </w:p>
    <w:p/>
    <w:p>
      <w:r>
        <w:t xml:space="preserve">82. FORNECIMENTO DE ÁGUA — TARIFA DIFERENCIADA - COBRANÇA - LEGITIMIDADE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SÚMULA Nº 82 "É legítima a cobrança de tarifa diferenciada ou progressiva no fornecimento de água, por se tratar de preço público." Referência : Uniformização de Jurisprudência nº 2004.146.00008 - Julgamento 03.10.2005 - Votação: maioria - Relator: Des. Álvaro Mayrink da Costa EMENTÁRIO FORENSE. Dezembro, 2005. Ano LVII. Nº 685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2026-09-10T23:21:58.545Z</dcterms:created>
  <dcterms:modified xsi:type="dcterms:W3CDTF">2026-09-10T23:21:58.545Z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