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>
      <w:r>
        <w:rPr>
          <w:b/>
          <w:bCs/>
        </w:rPr>
        <w:t xml:space="preserve">Relator: </w:t>
      </w:r>
      <w:r>
        <w:t xml:space="preserve">Roberto Wider</w:t>
      </w:r>
    </w:p>
    <w:p/>
    <w:p>
      <w:r>
        <w:t xml:space="preserve">84. FORNECIMENTO DE ÁGUA — FORNECIMENTO DE ENERGIA ELÉTRICA - TARIFA MÍNIMA - COBRANÇA POR MEDIDOR DE CONSUMO - LEGALIDADE DA COBRANÇA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84 "É legal a cobrança do valor correspondente ao consumo registrado no medidor, com relação à prestação dos serviços de fornecimento de água e luz, salvo se inferior ao valor da tarifa mínima, cobrada pelo custo de disponibilização do serviço, vedada qualquer outra forma de exação." Referência : Súmula da Jurisprudência Predominante de n.º 2005.146.00005 - Julgamento em 12/09/2005 - Votação: unânime - Relator: Des. Roberto Wider - Registro de Acórdão em - 11/10/2005 - fls. 009686/009688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2026-10-26T05:38:14.381Z</dcterms:created>
  <dcterms:modified xsi:type="dcterms:W3CDTF">2026-10-26T05:38:14.381Z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