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Roberto Wider</w:t>
      </w:r>
    </w:p>
    <w:p/>
    <w:p>
      <w:r>
        <w:t xml:space="preserve">84. FORNECIMENTO DE ÁGUA — FORNECIMENTO DE ENERGIA ELÉTRICA - TARIFA MÍNIMA - COBRANÇA POR MEDIDOR DE CONSUMO - LEGALIDADE DA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84 "É legal a cobrança do valor correspondente ao consumo registrado no medidor, com relação à prestação dos serviços de fornecimento de água e luz, salvo se inferior ao valor da tarifa mínima, cobrada pelo custo de disponibilização do serviço, vedada qualquer outra forma de exação." Referência : Súmula da Jurisprudência Predominante de n.º 2005.146.00005 - Julgamento em 12/09/2005 - Votação: unânime - Relator: Des. Roberto Wider - Registro de Acórdão em - 11/10/2005 - fls. 009686/009688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2026-09-10T23:09:36.314Z</dcterms:created>
  <dcterms:modified xsi:type="dcterms:W3CDTF">2026-09-10T23:09:36.314Z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