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Sílvio Teixeira</w:t>
      </w:r>
    </w:p>
    <w:p/>
    <w:p>
      <w:r>
        <w:t xml:space="preserve">94. INDENIZAÇÃO — CASO FORTUITO - DEVER DO FORNECEDOR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94 "Cuidando-se de fortuito interno, o fato de terceiro não exclui o dever do fornecedor de indenizar." Referência: - Súmula da Jurisprudência Predominante de n.º 2005.146.00006 - Julgamento em 10/10/2005 - Votação: unânime - Relator: Des. Sílvio Teixeira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2026-10-26T02:14:13.846Z</dcterms:created>
  <dcterms:modified xsi:type="dcterms:W3CDTF">2026-10-26T02:14:13.846Z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