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>
      <w:r>
        <w:rPr>
          <w:b/>
          <w:bCs/>
        </w:rPr>
        <w:t xml:space="preserve">Recurso: </w:t>
      </w:r>
      <w:r>
        <w:t xml:space="preserve">RE 92.002</w:t>
      </w:r>
    </w:p>
    <w:p/>
    <w:p>
      <w:r>
        <w:t xml:space="preserve">PREVALÊNCIA SOBRE LEI SUPERVENIENTE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este também o entendimento tranqüilo de nossas Corte Maior. No RE nº 92.002 - RS, RTJ - 94/442, entendeu que: "Os prejuízos resultantes de culposa inadimplência contratual deve propiciar completa reparação, com atualização do valor, sob pena de descumprir-se a regra de ressarcimento integral consoante do art. 1.059 do Código Civil". "A jurisprudência do Supremo é pacífica no sentido de que, no ilícito contratual, é devida a correção monetária independentemente da Lei 6.899". - No mesmo sentido os REsp nºs. 77.100 - ES, RTJ 106/345, 99.222 - RJ, RTJ 106/860. - Conheço do recurso pela divergência e lhe dou provimento para determinar a incidência da correção monetária sobre as importâncias correspondentes às parcelas pagas com atraso. Ac. de 05-06-1991 Revista do Sup. Tr. Justiça - Setembro 1991 - Nº 25 - Pág. 497. EMFOR 529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Caracterizado o ilícito contratual porque não pagas, no prazo estipulado, as importâncias devidas em virtude da celebração de contrato para a realização de obra pública, é devida a correção monetária, mesmo em período anterior à Lei 6.899/81, por tratar-se de dívida de valor.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2026-10-26T02:14:48.685Z</dcterms:created>
  <dcterms:modified xsi:type="dcterms:W3CDTF">2026-10-26T02:14:48.685Z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