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RESP 676.678</w:t>
      </w:r>
    </w:p>
    <w:p/>
    <w:p>
      <w:r>
        <w:t xml:space="preserve">CADASTRO DE INADIMPLENTES — INSCRIÇÃO - PERMANÊNCIA - PRAZO - CINCO 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inscrição de inadimplente pode ser mantida nos serviços de proteção ao crédito por, no máximo, cinco anos. Referência Legislativa: - Lei nº 8.078/1990 - Código de Defesa do Consumidor, art. 43, § 1º e § 5º Precedentes: RESP 676.678 RS 2004/0086677-0 DECISÃO: 18-11-2004 DJ DATA: 06-12-2004 PG: 338 RESP 648.528 RS 2004/0042647-2 DECISÃO: 16-09-2004 DJ DATA: 06-12-2004 PG: 335 RESP 472.203 RS 2002/0133403-4 DECISÃO: 23-06-2004 DJ DATA: 29-11-2004 PG: 220 RESP 631.451 RS 2004/0023165-4 DECISÃO: 26-08-2004 DJ DATA: 16-11-2004 PG: 278 RESP 615.639 RS 2003/0220988-2 DECISÃO: 28-06-2004 DJ DATA: 02-08-2004 PG: 391 Data do Julgamento: 23-11-2005 DJ de 05-12-2005, pág. 410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2026-10-26T02:37:20.165Z</dcterms:created>
  <dcterms:modified xsi:type="dcterms:W3CDTF">2026-10-26T02:37:20.165Z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