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Álvaro Mayrink</w:t>
      </w:r>
    </w:p>
    <w:p/>
    <w:p>
      <w:r>
        <w:t xml:space="preserve">96. CUMULAÇÃO DE DANO MORAL E ESTÉTICO —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96 "As verbas relativas às indenizações por dano moral e dano estético são acumuláveis." Referência: - Súmula da Jurisprudência Predominante nº 2005.146.00003 - Julgamento em 24/10/2005 - Votação: unânime - Relator: Álvaro Mayrink da Costa - Registro de Acórdão em 13/12/2005 - fls. 010862/010867.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2026-10-26T02:24:43.590Z</dcterms:created>
  <dcterms:modified xsi:type="dcterms:W3CDTF">2026-10-26T02:24:43.590Z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