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PENSIONISTA DE MILITAR</w:t>
      </w:r>
    </w:p>
    <w:p/>
    <w:p>
      <w:r>
        <w:rPr>
          <w:b/>
          <w:bCs/>
        </w:rPr>
        <w:t xml:space="preserve">Relator: </w:t>
      </w:r>
      <w:r>
        <w:t xml:space="preserve">Álvaro Mayrink</w:t>
      </w:r>
    </w:p>
    <w:p/>
    <w:p>
      <w:r>
        <w:t xml:space="preserve">97. DANO MORAL — CORREÇÃO MONETÁRIA - FIXAÇÃO EM MOEDA CORRENTE - TERMO INICIAL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97 "A correção monetária da verba indenizatória de dano moral, sempre arbitrada em moeda corrente, somente deve fluir do julgado que a fixar." Referência: - Súmula da Jurisprudência Predominante nº 2005.146.00003 - Julgamento em 24/10/2005 - Votação: unânime - Relator: Álvaro Mayrink da Costa - Registro de Acórdão em 13/12/2005 - fls. 010862/010867. EMENTÁRIO FORENSE. Fevereiro, 2006. Ano LVIII. Nº 687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2026-07-28T00:15:29.799Z</dcterms:created>
  <dcterms:modified xsi:type="dcterms:W3CDTF">2026-07-28T00:15:29.799Z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