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Álvaro Mayrink</w:t>
      </w:r>
    </w:p>
    <w:p/>
    <w:p>
      <w:r>
        <w:t xml:space="preserve">98. RESCISÃO DE NEGÓCIO JURÍDICO — CULPA DO VENDEDOR - RESTITUIÇÃO DAS IMPORTÂNCIAS PAGAS - TAXA DE ADMINISTRAÇÃO - ABATIMENTO DE VALORES
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98 "Na ação de rescisão de negócio jurídico, por culpa do vendedor, cumulada com restituição de parcelas pagas, descabe o abatimento de valores referentes à taxa de administração do empreendimento frustrado, mesmo que destinadas ao pagamento de comissões, intermediações e outras despesas de comercialização, devendo a devolução efetivada ao comprador ser plena, de modo a assegurar-lhe o exato recebimento de tudo o que despendeu." Referência: - Súmula da Jurisprudência Predominante nº 2005.146.00003 - Julgamento em 24/10/2005 - Votação: unânime - Relator: Álvaro Mayrink da Costa - Registro de Acórdão em 13/12/2005 - fls. 010862/010867.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2026-10-26T05:39:35.007Z</dcterms:created>
  <dcterms:modified xsi:type="dcterms:W3CDTF">2026-10-26T05:39:35.007Z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