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>
      <w:r>
        <w:rPr>
          <w:b/>
          <w:bCs/>
        </w:rPr>
        <w:t xml:space="preserve">Relator: </w:t>
      </w:r>
      <w:r>
        <w:t xml:space="preserve">Cássia Medeiros</w:t>
      </w:r>
    </w:p>
    <w:p/>
    <w:p>
      <w:r>
        <w:t xml:space="preserve">102. MANDADO DE SEGURANÇA CONTRA DECISÕES DAS CÂMARAS ISOLADAS — DESCABIMENTO - RECURSOS PREVISTOS EM LEI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102 "Descabe a impetração de mandado de segurança, perante o Órgão Especial, contra as decisões das Câmaras isoladas, nos casos em que a lei prevê recursos para os Tribunais Superiores." Referência: - Súmula da Jurisprudência Predominante nº 2005.146.00001 - Julgamento em 18/07/2005 - Votação: unânime - Relator: Desembargador Cássia Medeiros - Registro de Acórdão em 26/12/2005 - fls. 011200/011220.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2026-10-26T02:20:36.776Z</dcterms:created>
  <dcterms:modified xsi:type="dcterms:W3CDTF">2026-10-26T02:20:36.776Z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