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>
      <w:r>
        <w:rPr>
          <w:b/>
          <w:bCs/>
        </w:rPr>
        <w:t xml:space="preserve">Relator: </w:t>
      </w:r>
      <w:r>
        <w:t xml:space="preserve">Cássia Medeiros</w:t>
      </w:r>
    </w:p>
    <w:p/>
    <w:p>
      <w:r>
        <w:t xml:space="preserve">103. ARRENDAMENTO MERCANTIL — COMPROVAÇÃO DA MORA - CARTA COM AVISO DE RECEBIMENTO - CONCESSÃO DE LIMINAR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103 "Nas ações fundadas em contratos de arrendamento mercantil, basta a carta dirigida ao devedor, com aviso de recebimento, entregue no endereço constante do contrato, para comprovar a mora e justificar a concessão de liminar." Referência: - Súmula da Jurisprudência Predominante nº 2005.146.00001 - Julgamento em 18/07/2005 - Votação: unânime - Relator: Desembargador Cássia Medeiros - Registro de Acórdão em 26/12/2005 - fls. 011200/011220.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2026-07-28T00:46:33.293Z</dcterms:created>
  <dcterms:modified xsi:type="dcterms:W3CDTF">2026-07-28T00:46:33.294Z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