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Relator: </w:t>
      </w:r>
      <w:r>
        <w:t xml:space="preserve">Cássia Medeiros</w:t>
      </w:r>
    </w:p>
    <w:p/>
    <w:p>
      <w:r>
        <w:t xml:space="preserve">103. ARRENDAMENTO MERCANTIL — COMPROVAÇÃO DA MORA - CARTA COM AVISO DE RECEBIMENTO - CONCESSÃO DE LIMINAR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103 "Nas ações fundadas em contratos de arrendamento mercantil, basta a carta dirigida ao devedor, com aviso de recebimento, entregue no endereço constante do contrato, para comprovar a mora e justificar a concessão de liminar." Referência: - Súmula da Jurisprudência Predominante nº 2005.146.00001 - Julgamento em 18/07/2005 - Votação: unânime - Relator: Desembargador Cássia Medeiros - Registro de Acórdão em 26/12/2005 - fls. 011200/011220. EMENTÁRIO FORENSE. Fevereiro, 2006.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2026-10-26T05:43:23.322Z</dcterms:created>
  <dcterms:modified xsi:type="dcterms:W3CDTF">2026-10-26T05:43:23.322Z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