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PENSIONISTA DE MILITAR</w:t>
      </w:r>
    </w:p>
    <w:p/>
    <w:p>
      <w:r>
        <w:rPr>
          <w:b/>
          <w:bCs/>
        </w:rPr>
        <w:t xml:space="preserve">Relator: </w:t>
      </w:r>
      <w:r>
        <w:t xml:space="preserve">Cássia Medeiros</w:t>
      </w:r>
    </w:p>
    <w:p/>
    <w:p>
      <w:r>
        <w:t xml:space="preserve">105. DANO MORAL — CONDENAÇÃO INFERIOR AO PEDIDO - SUCUMBÊNCIA RECÍPROCA - NÃO CONFIGURAÇÃO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105 "A indenização por dano moral, fixada em valor inferior ao requerido, não implica, necessariamente, em sucumbência recíproca." Referência: - Súmula da Jurisprudência Predominante nº 2005.146.00001 - Julgamento em 18/07/2005 - Votação: unânime - Relator: Desembargador Cássia Medeiros - Registro de Acórdão em 26/12/2005 - fls. 011200/011220. EMENTÁRIO FORENSE. Fevereiro, 2006. Ano LVIII. Nº 687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2026-10-26T03:25:14.376Z</dcterms:created>
  <dcterms:modified xsi:type="dcterms:W3CDTF">2026-10-26T03:25:14.376Z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