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Agravo de Instrumento 1999.002.10804.</w:t>
      </w:r>
    </w:p>
    <w:p>
      <w:r>
        <w:rPr>
          <w:b/>
          <w:bCs/>
        </w:rPr>
        <w:t xml:space="preserve">Relator: </w:t>
      </w:r>
      <w:r>
        <w:t xml:space="preserve">Juíza Gilda Maria Carrapatoso Carvalho</w:t>
      </w:r>
    </w:p>
    <w:p>
      <w:r>
        <w:rPr>
          <w:b/>
          <w:bCs/>
        </w:rPr>
        <w:t xml:space="preserve">Julgado em: </w:t>
      </w:r>
      <w:r>
        <w:t xml:space="preserve">10/01/2000</w:t>
      </w:r>
    </w:p>
    <w:p/>
    <w:p>
      <w:r>
        <w:t xml:space="preserve">ATO ENVIADO PELO CORREIO COM ENDEREÇO ERRADO —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630 - CITAÇÃO ENVIADA A ENDEREÇO ERRADO - NULIDADE DA CITAÇÃO CONFIGURADA - SEGURANÇA CONCEDIDA Visa a impetrantee concessão de medida liminar para fazer sustar o prosseguimento de ação executiva, sustentando que em processo de conhecimento, a citação foi enviada a endereço errôneo, diverso daquele apontado pelo autor na inicial o que ensejou a decretação da revelia, restando condenada a empresa ao pagamento de indenização por danos morais, no montante de R$ 4.000,00 (fl. 34). Salienta que certidão cartorária, a fl. 35, reconhece o endereçamento equivocado, declarando que o endereço do réu é na Av. Rio Branco, nº. 110/20º. andar (fl. 02). entretanto o A. R. de citação foi encaminhado para a Av. Rio Branco, 10/20º. andar (fl. 40). Liminar deferida a fl. 11, para determinar a suspensão da execução a decisão final nesse writ. Informações prestadas pelo ilustre juízo impetrado a fl. 114/152. Regularmente citado, não houve manifestação do litisconsorte. Parecer do ilustre órgão do Ministério Público, a fl. 158 e verso, opinando pela concessão da segurança. É o relatório. O mandado de segurança é o meio constitucional para a proteção de direito líquido e certo, lesado ou ameaçado de lesão, por ato de autoridade, não amparado por "habeas corpus". Afirma a impetrante que, embora não tenha sido validamente citada em processo de conhecimento, foi condenada ao pagamento de indenização por danos morais, no montante de R$ 4.000,00 (fl. 77). Destaca que iniciada execução e efetivada a penhora de bens, momento em que teve ciência da demanda, ofereceu exceção de pré-executividade, no prazo legal (fl. 83/87), rejeitada pelo ilustre juízo impetrado (fl. 94). Pelo exame dos autos, constata-se que a citação da impetrante em processo de conhecimento foi realizada na Avenida Rio Branco, nº. 10, 20º. andar, conforme cópia do AR a fl. 33. No entanto, o endereço é equivocado, consoante certidão de fl. 3 5, que aponta como correto a Avenida Rio Branco, nº 110, 20º. andar, local indicado pelo autor na exordial. Dessa forma, resta configurada a nulidade da citação, tornando-se nulos, por conseqüência, os atos processuais posteriores. Destaque-se que, em regra, a exceção de pré-executividade não é a via adequada para a alegação de nulidade da citação, matéria que deveria ser discutida em embargos do devedor. Ocorre que, quando o óbice à execução é de plano demonstrado, como no presente caso, a medida pode ser apreciada e acolhida, com vistas a evitar gravame desnecessário ao executado. Colacione-se, por oportuno, jurisprudência sobre o tema. Exceção de pré-executividade. Rejeição sumária. Questão dependente de prova é típica de embargos. Nulidade de citação na via de conhecimento. A exceção de pré-executividade não deve ser aceita, de regra, como meio de defesa, a fim de não servir como expediente protelatório da execução. O seu cabimento deve ser restrito às hipóteses em que o óbice à execução é demonstrado de plano, apenas por exclusiva via documental. No caso, declaração constante dos autos, de autoria de serventuário, não infirma a ocorrência citação na via cognitiva, nem indica a sua nulidade, além de carecer de outros questionamentos, sendo, pois, propícia para instruir embargos e execução. Improvimento do recurso. (Agravo de Instrumento 1999.002.10804. Oitava Câmara Cível. Relator Desembargador PAULO LARA., julgado em 11/01/2000). Pelo exposto, voto pela concessão da segurança, para declarar a nulidade da citação efetivada em processo de conhecimento, bem como todos os atos processuais posteriores. Processo nº 2002.700.10.469-0. Segunda Turma Recursal Cível. Relatora: Juíza Gilda Maria Carrapatoso Carvalho de Oliveira. Julgamento: 07/05/2003-20/04/2003. Cadernos de Jurisprudência. Juizados Especiais. Editora Espaço Jurídico. Junho de 2005. Vol. 013. Pág. 09 EMENTÁRIO FORENSE. Fevereiro, 2006, Ano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2026-07-27T23:18:32.631Z</dcterms:created>
  <dcterms:modified xsi:type="dcterms:W3CDTF">2026-07-27T23:18:32.631Z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