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OBRIGAÇÃO DE FAZER</w:t>
      </w:r>
    </w:p>
    <w:p>
      <w:r>
        <w:rPr>
          <w:i/>
          <w:iCs/>
          <w:color w:val="666666"/>
        </w:rPr>
        <w:t xml:space="preserve">CONVERSÃO EM PERDAS E DANOS</w:t>
      </w:r>
    </w:p>
    <w:p/>
    <w:p>
      <w:r>
        <w:rPr>
          <w:b/>
          <w:bCs/>
        </w:rPr>
        <w:t xml:space="preserve">Relator: </w:t>
      </w:r>
      <w:r>
        <w:t xml:space="preserve">Juíza Adalgisa Baldotto</w:t>
      </w:r>
    </w:p>
    <w:p/>
    <w:p>
      <w:r>
        <w:t xml:space="preserve">COBRANÇA INDEVIDA — RESTITUIÇÃO EM DOBRO - QUANDO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671 - TELEMAR - RESTITUIÇÃO EM DOBRO DE VALORES PAGOS A MAIOR - COBRANÇA INDEVIDA. O autor requer a restituição em dobro do valor pago a maior desde 1994, pois, em linha telefônica de assinatura residencial, a ré cobra assinatura não-residencial. A sentença de fl.53 julga procedente o pedido e condena a ré a pagar ao autor R$ 5.837,79 de indenização por danos materiais, conforme planilha 34. Recorre a ré (fl. 59), argüindo preliminar de decadência, com base no artigo 26, inciso II, do CODECON. Há que se acolher a preliminar, posto que a pretensão de indenizatória retroage a 1994. Com efeito, o autor é titular do direito de uso da linha telefônica 2222-2466 desde 1994 e tem pago as faturas como se utilizasse linha de assinatura não-residencial. Justifica-se sua oposição a tal cobrança já que o serviço prestado é residencial, todavia, o decurso do tempo opera em favor da ré. O artigo 26 da Lei nº. 8.078/90 fixa o prazo de 90 dias para os consumidores exerçam o direito de reclamar por vícios aparentes e de fácil constatação. Considerando-se que a ação foi ajuizada em 29/11/2002 somente resguardou ao autor o direito a ressarcir-se dos valores indevidamente cobrados na faturas emitidas a partir de setembro de 2002. Por outro lado, verifica-se que a cobrança foi regularizada, conforme fatura de fl. 46 referente a janeiro de 2003. Assim, tem o autor o direito a receber, em dobro, o valor correspondente a diferença entre a cobrança de assinatura não-residencial e a residencial de setembro a dezembro de 2002. Isto posto, voto no sentido de dar provimento parcial ao recurso para condenar a ré a restituir, em dobro, a diferença entre o valor da assinatura não-residencial e residencial indevidamente cobrada nos meses de setembro a dezembro de 2002, corrigido e acrescido de juros legais a partir da citação. Em conseqüência, reconheço a decadência do direito do autor à restituição dos valores anterio res a esse período. Sem ônus sucumbenciais. Processo nº 2003.700.018846-2. Comarca da Capital Conselho Recursal. Relatora: Juíza Adalgisa Baldotto Emery. Julgamento: 06/10/2003. Cadernos de Jurisprudência. Juizados Especiais. Editora Espaço Jurídico. Junho de 2005. Vol. 013. Pág. 54 EMENTÁRIO FORENSE. Fevereiro, 2006.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2026-09-10T22:12:18.303Z</dcterms:created>
  <dcterms:modified xsi:type="dcterms:W3CDTF">2026-09-10T22:12:18.303Z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