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OBRIGAÇÃO DE FAZER</w:t>
      </w:r>
    </w:p>
    <w:p>
      <w:r>
        <w:rPr>
          <w:i/>
          <w:iCs/>
          <w:color w:val="666666"/>
        </w:rPr>
        <w:t xml:space="preserve">CONVERSÃO EM PERDAS E DANOS</w:t>
      </w:r>
    </w:p>
    <w:p/>
    <w:p/>
    <w:p>
      <w:r>
        <w:t xml:space="preserve">INCLUSÃO DE NOME DE TERCEIRO NO CADASTRO DE DEVEDORES — HIPÓTESE DE DOCUMENTO EXTRAVIADO - AÇÃO PROCEDENTE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675 - NOME DO AUTOR EM CADASTRO DE RESTRIÇÃO AO CRÉDITO - DOCUMENTOS EXTRAVIADOS - SENTENÇA ULTRA PETITA - REDUÇÃO DO QUANTUM INDENIZATÓRIO. Trata-se de pretensão indenizatória decorrente do envio do nome do autor para o cadastro de restrição ao crédito sem que jamais tinha havido qualquer contrato firmado entre as partes. Afirma o autor que seus documentos foram extraviados, ensejando diversos aborrecimentos dentre eles o lançamento indevido no rol de inadimplentes. Em contestação a ré alega fato de terceiro e inexistência do dano moral alegado. A sentença de fls. 36/37 condena o banco a pagar 25 salários mínimos. O banco interpôs recurso (fl. 39), onde alega que a sentença é "ultra petita", pois o autor dá à causa o valor de R$. 1.000,00. Renova os argumentos da contestação assinalando, ainda, que o autor tem várias inserções em cadastros restritivos. Considerando os fatos relatados, impossível aferir se as anotações derivam de inadimplemento do autor ou atuação írnproba de terceiros já que a única conta corrente reconhecida pelo autor é aquela mantida com o Banco Real. O ilustre julgador, com raciocínio e lucidez, condena o banco réu a indenizar o autor por danos morais, portanto, os fundamentos da sentença devem ser acatados. Entretanto, entendo merecer reparo o "quantum" indenizatório arbitrado na sentença de fls. 36/37, pois o inicial não determina o valor da indenização pleiteada, porém atribui à causa o valor de R$ 1.000,00, delimitando, assim, a pretensão do autor. Isto posto, voto no sentido de dar provimento parcial ao recurso para reduzir a indenização para R$ 1.000,00, por força do princípio da adstrição da sentença ao pedido. Sem ônus sucumbenciais. Processo nº 2003.700.020236-7. Conselho Recursal Primeira Turma Cível. Relatora: .Juíza Adalgisa Baldotto Emery. Julgamento: 06/10/2003. Cadernos de Jurisprudência. Juizados Especiais. Editora Espaço Jurídico. Junho de 200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2026-06-17T15:27:08.769Z</dcterms:created>
  <dcterms:modified xsi:type="dcterms:W3CDTF">2026-06-17T15:27:08.769Z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