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OBRIGAÇÃO DE FAZER</w:t>
      </w:r>
    </w:p>
    <w:p>
      <w:r>
        <w:rPr>
          <w:i/>
          <w:iCs/>
          <w:color w:val="666666"/>
        </w:rPr>
        <w:t xml:space="preserve">CONVERSÃO EM PERDAS E DANOS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13/12/1976</w:t>
      </w:r>
    </w:p>
    <w:p/>
    <w:p>
      <w:r>
        <w:t xml:space="preserve">SEU FUNDAMENTO EM REGRA CONSTITUCIONAL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 o Recorrente que o acórdão impugnado contraria o artigo 35 do Decreto-lei nº. 3.365/1941 e diverge dos que indicou como padrões de confronto. - Não procede o ... argumento, porque o Julgado recorrido considerou, como razão decisória, que o direito à reversão do bem desapropriado é previsto no artigo 153, parágrafo 2º., da Constituição, e não no artigo 35 do Decreto-Lei nº. 3.365/1941. - Lê-se isto no único fundamento do sobredito acórdão: "É chegado o momento de emitir o meu voto (são palavras do Relator do caso no Tribunal "a quo") e o faço admitindo a existência da retrocessão no direito pátrio, com base em tradicional princípio constitucional hoje inscrito no artigo 153, parágrafo 22, da Carta Magna." - Pelo que se lê no passo transcrito, considerou o julgado mineiro que o fundamento jurídico da reaquisição do imóvel desapropriado está na supracitada regra constitucional, e não no artigo 35 do Decreto-Lei nº. 3.365/1971; e assim decidindo (com o apoio, aliás, de celebrados especialistas), questionado acórdão não vulnerou o antedito artigo 35, senão que o definiu como inaplicável ao caso "sub judice", razão essa que não contraria mencionada regra, porque, na verdade, ela não incide na espécie; negar-lhe-ia vigência, é claro, se, aplicável ao litígio, não lhe fosse aplicada. - Além do perfeito estudo feito por SEABRA FAGUNDES (R. F. 209/11 e seguintes), no qual se baseou o acórdão recorrido, há outros que podem ser lembrados. - Um deles é o do conhecido monografista F. WHITAKER. - No concernen te ao tema, escreveu esse autor o seguinte (Desapropriação, 3ª. ed., pág. 73): "É corolário do preceito constitucional relativo à propriedade (refere-se o Autor à retrocessão). Desde que só pela utilidade pública se faz exceção à garantia do direito, não se compreende que permaneça a forçada transferência, se tais motivos tiverem cessado." - Outro monografista, HÉLIO MORAES DE SIQUEIRA, sustentou idêntico ponto-de-vista, como se lê a seguir ("A Retrocessão nas Desapropriações", São Paulo, 1964, págs. 76 e 77): "A nossa posição, ante o problema da existência da retrocessão no direito brasileiro, decorre logicamente dos pressupostos jurídicos que estabelecemos. A matéria é, evidentemente, de direito público, constitucional e administrativo. A lei civil cogita do tema não só porque a propriedade nas suas relações privadas se vincula ao Código Civil, como também, ao que parece, pela precipitação do legislador que decidiu disciplinar a espécie ao tratar da preempção ou preferência. Aliás, como já vimos, a inadvertência do elaborador do Código Civil adquiriu contorno mais acentuado, por subordinar o preceito a capítulo absolutamente inadequado. Por isso é que não temos dúvidas em afirmar que as disposições relativas à preempção convencional, estabelecida no Código Civil, não se aplicam à retrocessão. Esta recebeu do legislador civil tão só a prescrição contida no artigo 1.150. - Entretanto, não é na lei civil que se encontra o fundamento da retrocessão. Ali poder-se-ia, quando muito, vislumbrar os lineamentos do instituto. É na Constituição Federal que a retrocessão deita raízes e recebe a essência jurídica que a sustém. Mesmo se ausente o preceito no Código Civil, a figura da retrocessão teria existência no direito brasileiro, pois é conseqüência jurídica do mandamento constitucional garantidor da inviolabilidade da propriedade, ressalvada a desapropriação por utilidade e necessidade pública e de interesse social, mediante prévia e justa indenização em dinheiro". - Na Jurisprudência do Supremo Tribunal merece destaque o aresto proferido em 11-05-1970 no RE nº. 64.559 (R.T.J., 57/46-56), do qual foi relator eminente Ministro ELOY DA ROCHA, que proferiu seu voto com este argumento: "A natureza do direito regulado no artigo 1.150 é diversa da do direito de preempção, ou preferência, disciplinado no artigo 1.149. Este, que é pacto da compra e venda, tem por pressuposto a venda ou dação em pagamento. Naquele, que resulta da lei, o pressuposto é, genericamente, não dar o expropriante, ao imóvel, o destino para que se desapropriou. Não se identificam a preempção convencional e a preempção legal, do artigo 1.150. A preempção legal, consagrada no artigo 1.150, é de direito público, embora inserida no Código Civil - PONTES DE MIRANDA, Tratado de Direito Privado, tomo XIV, 2ª. Edição, parágrafo 1.612, pág. 172." - Tenho como certo que o Instituto do artigo 1.150 não desapareceu com a norma do artigo 35 do Decreto-lei nº. 3.365, de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à reaquisição da coisa desapropriada tem o seu fundamento no artigo 153, parágrafo 22, da Constituição Federal e artigo 1.150, do Código Civil, pois um e outro exprimem um só princípio que se sobrepõe ao do artigo 35 do Decreto-lei nº 3.365, de 1941, visto que o direito previsto neste último (reivindicação) não faz desaparecer aquele outro.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2026-10-26T06:02:17.192Z</dcterms:created>
  <dcterms:modified xsi:type="dcterms:W3CDTF">2026-10-26T06:02:17.192Z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