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OBRIGAÇÃO DE FAZER</w:t>
      </w:r>
    </w:p>
    <w:p>
      <w:r>
        <w:rPr>
          <w:i/>
          <w:iCs/>
          <w:color w:val="666666"/>
        </w:rPr>
        <w:t xml:space="preserve">CONVERSÃO EM PERDAS E DANOS</w:t>
      </w:r>
    </w:p>
    <w:p/>
    <w:p>
      <w:r>
        <w:rPr>
          <w:b/>
          <w:bCs/>
        </w:rPr>
        <w:t xml:space="preserve">Recurso: </w:t>
      </w:r>
      <w:r>
        <w:t xml:space="preserve">RE 14.598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07/10/1976</w:t>
      </w:r>
    </w:p>
    <w:p/>
    <w:p>
      <w:r>
        <w:t xml:space="preserve">FIXAÇÃO DE PAUTA DE VALOR MÍNIMO — SE DEVE SER FUNDAMENTADA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orientação do STF, sempre contra o meu voto, afinal se firmou no sentido de que devem ver fundamentadas as Resoluções do Conselho de Política Aduaneira. A petição de interposição do extraordinário cita, neste sentido, vários acórdãos, num dos quais, ERE 14.598 (Pleno de 20-08-1973), ressaltei meu ponto de vista, para depois, acompanhar a orientação desta Corte. Ainda recentemente, em Sessão de 19 de fevereiro último, o Plenário, recebendo embargos de divergência, ratificou, acerca da matéria, a sua posição. Refiro-me ao ERE 76.377, relator Ministro CORDEIRO GUERRA. - Acompanhando os precedentes, conheço do recurso e a ele dou provimento, concedendo a segurança. Julgado em 08-10-1976 VENCIDO O MINISTRO CUNHA PEIXOTO Revista Trimestral de Jurisprudência. Março, 1977. Vol. 79. Pág. 902 EMENTÁRIO FORENSE. Janeiro, 1978. Ano XXX. Nº 350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Resoluções do Conselho de Política Aduaneira, baixando pauta de valor mínimo, devem ser fundamentadas, conforme orientação da jurisprudência do Supremo Tribunal Federal.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2026-09-11T00:22:24.883Z</dcterms:created>
  <dcterms:modified xsi:type="dcterms:W3CDTF">2026-09-11T00:22:24.883Z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