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RE 14.598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07/10/1976</w:t>
      </w:r>
    </w:p>
    <w:p/>
    <w:p>
      <w:r>
        <w:t xml:space="preserve">FIXAÇÃO DE PAUTA DE VALOR MÍNIMO — SE DEVE SER FUNDAMENTADA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orientação do STF, sempre contra o meu voto, afinal se firmou no sentido de que devem ver fundamentadas as Resoluções do Conselho de Política Aduaneira. A petição de interposição do extraordinário cita, neste sentido, vários acórdãos, num dos quais, ERE 14.598 (Pleno de 20-08-1973), ressaltei meu ponto de vista, para depois, acompanhar a orientação desta Corte. Ainda recentemente, em Sessão de 19 de fevereiro último, o Plenário, recebendo embargos de divergência, ratificou, acerca da matéria, a sua posição. Refiro-me ao ERE 76.377, relator Ministro CORDEIRO GUERRA. - Acompanhando os precedentes, conheço do recurso e a ele dou provimento, concedendo a segurança. Julgado em 08-10-1976 VENCIDO O MINISTRO CUNHA PEIXOTO Revista Trimestral de Jurisprudência. Março, 1977. Vol. 79. Pág. 902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Resoluções do Conselho de Política Aduaneira, baixando pauta de valor mínimo, devem ser fundamentadas, conforme orientação da jurisprudência do Supremo Tribunal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2026-10-26T06:06:04.588Z</dcterms:created>
  <dcterms:modified xsi:type="dcterms:W3CDTF">2026-10-26T06:06:04.588Z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