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 14.598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07/10/1976</w:t>
      </w:r>
    </w:p>
    <w:p/>
    <w:p>
      <w:r>
        <w:t xml:space="preserve">FIXAÇÃO DE PAUTA DE VALOR MÍNIMO — SE DEVE SER FUNDAMENTADA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orientação do STF, sempre contra o meu voto, afinal se firmou no sentido de que devem ver fundamentadas as Resoluções do Conselho de Política Aduaneira. A petição de interposição do extraordinário cita, neste sentido, vários acórdãos, num dos quais, ERE 14.598 (Pleno de 20-08-1973), ressaltei meu ponto de vista, para depois, acompanhar a orientação desta Corte. Ainda recentemente, em Sessão de 19 de fevereiro último, o Plenário, recebendo embargos de divergência, ratificou, acerca da matéria, a sua posição. Refiro-me ao ERE 76.377, relator Ministro CORDEIRO GUERRA. - Acompanhando os precedentes, conheço do recurso e a ele dou provimento, concedendo a segurança. Julgado em 08-10-1976 VENCIDO O MINISTRO CUNHA PEIXOTO Revista Trimestral de Jurisprudência. Março, 1977. Vol. 79. Pág. 902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Resoluções do Conselho de Política Aduaneira, baixando pauta de valor mínimo, devem ser fundamentadas, conforme orientação da jurisprudência do Supremo Tribunal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2026-06-17T15:26:15.010Z</dcterms:created>
  <dcterms:modified xsi:type="dcterms:W3CDTF">2026-06-17T15:26:15.010Z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