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OBRIGAÇÃO DE FAZER</w:t>
      </w:r>
    </w:p>
    <w:p>
      <w:r>
        <w:rPr>
          <w:i/>
          <w:iCs/>
          <w:color w:val="666666"/>
        </w:rPr>
        <w:t xml:space="preserve">CONVERSÃO EM PERDAS E DANOS</w:t>
      </w:r>
    </w:p>
    <w:p/>
    <w:p/>
    <w:p>
      <w:r>
        <w:t xml:space="preserve">QUAL O MEIO PROCESSUAL IDÔNEO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Inocorre fraude à execução se a alienação do imóvel penhorado já se completara ao iniciar-se a execução contra o alienante. - A possível fraude a credores só poderá ser encaminhada e solucionada por meio da ação pauliana e ato através de embargos de terceiro. (Ementa modificada pelo EMENTÁRIO FORENSE) V. o título FRAUDE DE EXECUÇÃO. Subtítulo CONCEITUAÇÃO. EMENTÁRIO FORENSE. Janeiro, 1978. Ano XXX. Nº 350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2026-10-26T02:42:31.788Z</dcterms:created>
  <dcterms:modified xsi:type="dcterms:W3CDTF">2026-10-26T02:42:31.788Z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