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OBRIGAÇÃO DE FAZER</w:t>
      </w:r>
    </w:p>
    <w:p>
      <w:r>
        <w:rPr>
          <w:i/>
          <w:iCs/>
          <w:color w:val="666666"/>
        </w:rPr>
        <w:t xml:space="preserve">CONVERSÃO EM PERDAS E DANOS</w:t>
      </w:r>
    </w:p>
    <w:p/>
    <w:p/>
    <w:p>
      <w:r>
        <w:t xml:space="preserve">QUAL O MEIO PROCESSUAL IDÔNEO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Inocorre fraude à execução se a alienação do imóvel penhorado já se completara ao iniciar-se a execução contra o alienante. - A possível fraude a credores só poderá ser encaminhada e solucionada por meio da ação pauliana e ato através de embargos de terceiro. (Ementa modificada pelo EMENTÁRIO FORENSE) V. o título FRAUDE DE EXECUÇÃO. Subtítulo CONCEITUAÇÃO. EMENTÁRIO FORENSE. Janeiro, 1978. Ano XXX. Nº 350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2026-09-11T00:15:09.879Z</dcterms:created>
  <dcterms:modified xsi:type="dcterms:W3CDTF">2026-09-11T00:15:09.879Z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