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CONSTITUIÇÃO ESTADUAL</w:t>
      </w:r>
    </w:p>
    <w:p/>
    <w:p>
      <w:r>
        <w:rPr>
          <w:b/>
          <w:bCs/>
        </w:rPr>
        <w:t xml:space="preserve">Recurso: </w:t>
      </w:r>
      <w:r>
        <w:t xml:space="preserve">Apelação .</w:t>
      </w:r>
    </w:p>
    <w:p>
      <w:r>
        <w:rPr>
          <w:b/>
          <w:bCs/>
        </w:rPr>
        <w:t xml:space="preserve">Julgado em: </w:t>
      </w:r>
      <w:r>
        <w:t xml:space="preserve">08/09/1976</w:t>
      </w:r>
    </w:p>
    <w:p/>
    <w:p>
      <w:r>
        <w:t xml:space="preserve">DIREITO SUBJETIVO PROCESSUAL NÃO ABOLIDO PELO NOVO CÓDIGO DE PROCESSO CIVIL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Cuida-se de imissão de posse regulada pelo artigo 37, parágrafos 2º e 3º, do Decreto-Lei nº 70, de 1966, que disciplinou as atividades das instituições financeiras autorizadas a operar dentro do sistema nacional de habitação. - O dispositivo declara que, transcrita a carta de arrematação do imóvel praceado, pode o adquirente requerer ao juízo a imissão de posse. - Entende a sentença que a ação de imissão de posse foi abolida pelo novo estatuto processual, e não pode ser substituída pelas ações possessórias. - A matéria não é pacífica neste Tribunal, como se vê do Julgado citado pela decisão recorrida e de outros referidos pela autora. - No caso, porém, cuida-se de processo especial, ditado por lei especial, que não foi revogada pelo novo Código de Processo Civil. Ademais, como observa GALENO LACERDA, o novo estatuto processual, "ao suprimir a ação de imissão de posse do Livro IV, destinado aos procedimentos especiais, e ao deixar de ressalvá-la, no artigo 1.218. na verdade, suprimiu-lhe apenas o rito especial, mas não poderia eliminar, como não eliminou, o direito subjetivo a processual de ação que tenha por objeto a pretensão material à imissão de posse" ("O Novo Direito Processual Civil", ed. 74. pág. 42). - Destarte, dão provimento ao recurso da autora para afastar a carência da ação e determinar se profira decisão de mérito, prejudicado o apelo dos réus. Julgado em 09-09-1976 Revista dos Tribunais. Fevereiro, 1917. Vol. 496. Pág. 88 N. da R.: Diversamente decidiu a 6ª. Câmara do mesmo Tribunal, na Apelação nº. 241.134 (".F.", Nº. 330), determinando que adequado será o pedido de execução para entrega de coisa certa, cf, subtítulo CÓDIGO DE PROCESSO CIVIL. EMENTÁRIO FORENSE. Janeiro, 1978. Ano XXX. Nº 350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Código de Processo Civil não eliminou o direito subjetivo processual de ação de imissão de posse.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2026-09-11T00:29:00.615Z</dcterms:created>
  <dcterms:modified xsi:type="dcterms:W3CDTF">2026-09-11T00:29:00.615Z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