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CONSTITUIÇÃO ESTADUAL</w:t>
      </w:r>
    </w:p>
    <w:p/>
    <w:p>
      <w:r>
        <w:rPr>
          <w:b/>
          <w:bCs/>
        </w:rPr>
        <w:t xml:space="preserve">Julgado em: </w:t>
      </w:r>
      <w:r>
        <w:t xml:space="preserve">06/12/1971</w:t>
      </w:r>
    </w:p>
    <w:p/>
    <w:p>
      <w:r>
        <w:t xml:space="preserve">AVAL DO MARIDO PARA GARANTIA DE FINANCIAMENTO À EMPRESA DE QUE É DIRETOR —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Nego provimento ao recurso, pois, creio, o despacho agravado está conforme à exegese dada, pelo Supremo Tribunal Federal, ao artigo 3º. da Lei nº. 4.121/1962, face ao artigo 1º., da mesma lei, que deu nova redação ao artigo 246, parágrafo único do Código Civil, que ressalva as dívidas contraídas em benefício da família. - A lei de proteção à mulher casada não eliminou o regime de comunhão de bens, nem tomou obrigatória a outorga uxória para a concessão de aval. O que condenou foi o ato de liberalidade não justificado, capaz de atingir a meação da mulher. - Ora, na espécie o que se verificou foi o que consta do acórdão recorrido, isto é, os avais foram dados pelos maridos das agravantes, para garantia de um financiamento industrial da empresa de que eram diretores e da qual tiravam o sustento próprio e de suas famílias. - Não eram assim atos de mera liberalidade fulminados pela lei e pela jurisprudência, por outro lado, considero incensurável o acórdão, quando diz: "............ 2. É entendimento predominante desta Câmara, na interpretação do artigo 3º., da Lei nº. 4.121, de 27-08-1962, que a mulher, para evitar que a sua meação seja atingida pela penhora, deverá provar, cumpridamente, dois requisitos essenciais: a) que a dívida não trouxe benefício ao casal e b) que o gravame atingiu, efetivamente, a sua meação. 3. E, na espécie, os dois apontados requisitos não ficaram suficientemente delineados, quanto ao primeiro, como acentua o Dr. Juiz na motivação da sentença apelada, a dívida originou-se de avais prestados a financiamento obtido pela firma da qual os executados são diretores, têm eles, portanto, interesse direto em dito financiamento e os avais, em conseqüência, não foram prestados por mera liberalidade; quanto ao segundo não demonstraram as apelantes que o gravame teve, na verdade, repercussão na meação"." - Por esses motivos, nego provimento ao agravo. Julgado em 07-12-1971 Revista Trimestral de Jurisprudência. Maio, 1977. Vol. 80. Pág, 510 EMENTÁRIO FORENSE. Janeiro, 1978. Ano XXX. Nº 350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entendimento predominante na jurisprudência, na interpretação do artigo 3º. da Lei nº. 4.141, de 28-07-1962, que a mulher, para evitar que sua meação seja atingida pela penhora, deverá provar, cumpridamente, dois requisitos essenciais: a) que a dívida não trouxe benefício ao casal; b) que o gravame atingiu, efetivamente, a sua meação.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2026-06-17T14:20:41.280Z</dcterms:created>
  <dcterms:modified xsi:type="dcterms:W3CDTF">2026-06-17T14:20:41.280Z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