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CONSTITUIÇÃO ESTADUAL</w:t>
      </w:r>
    </w:p>
    <w:p/>
    <w:p>
      <w:r>
        <w:rPr>
          <w:b/>
          <w:bCs/>
        </w:rPr>
        <w:t xml:space="preserve">Julgado em: </w:t>
      </w:r>
      <w:r>
        <w:t xml:space="preserve">06/12/1971</w:t>
      </w:r>
    </w:p>
    <w:p/>
    <w:p>
      <w:r>
        <w:t xml:space="preserve">AVAL DO MARIDO PARA GARANTIA DE FINANCIAMENTO À EMPRESA DE QUE É DIRETOR — EFEITOS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Nego provimento ao recurso, pois, creio, o despacho agravado está conforme à exegese dada, pelo Supremo Tribunal Federal, ao artigo 3º. da Lei nº. 4.121/1962, face ao artigo 1º., da mesma lei, que deu nova redação ao artigo 246, parágrafo único do Código Civil, que ressalva as dívidas contraídas em benefício da família. - A lei de proteção à mulher casada não eliminou o regime de comunhão de bens, nem tomou obrigatória a outorga uxória para a concessão de aval. O que condenou foi o ato de liberalidade não justificado, capaz de atingir a meação da mulher. - Ora, na espécie o que se verificou foi o que consta do acórdão recorrido, isto é, os avais foram dados pelos maridos das agravantes, para garantia de um financiamento industrial da empresa de que eram diretores e da qual tiravam o sustento próprio e de suas famílias. - Não eram assim atos de mera liberalidade fulminados pela lei e pela jurisprudência, por outro lado, considero incensurável o acórdão, quando diz: "............ 2. É entendimento predominante desta Câmara, na interpretação do artigo 3º., da Lei nº. 4.121, de 27-08-1962, que a mulher, para evitar que a sua meação seja atingida pela penhora, deverá provar, cumpridamente, dois requisitos essenciais: a) que a dívida não trouxe benefício ao casal e b) que o gravame atingiu, efetivamente, a sua meação. 3. E, na espécie, os dois apontados requisitos não ficaram suficientemente delineados, quanto ao primeiro, como acentua o Dr. Juiz na motivação da sentença apelada, a dívida originou-se de avais prestados a financiamento obtido pela firma da qual os executados são diretores, têm eles, portanto, interesse direto em dito financiamento e os avais, em conseqüência, não foram prestados por mera liberalidade; quanto ao segundo não demonstraram as apelantes que o gravame teve, na verdade, repercussão na meação"." - Por esses motivos, nego provimento ao agravo. Julgado em 07-12-1971 Revista Trimestral de Jurisprudência. Maio, 1977. Vol. 80. Pág, 510 EMENTÁRIO FORENSE. Janeiro, 1978. Ano XXX. Nº 350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entendimento predominante na jurisprudência, na interpretação do artigo 3º. da Lei nº. 4.141, de 28-07-1962, que a mulher, para evitar que sua meação seja atingida pela penhora, deverá provar, cumpridamente, dois requisitos essenciais: a) que a dívida não trouxe benefício ao casal; b) que o gravame atingiu, efetivamente, a sua meação.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2026-09-11T00:29:31.999Z</dcterms:created>
  <dcterms:modified xsi:type="dcterms:W3CDTF">2026-09-11T00:29:31.999Z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