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>
      <w:r>
        <w:rPr>
          <w:b/>
          <w:bCs/>
        </w:rPr>
        <w:t xml:space="preserve">Julgado em: </w:t>
      </w:r>
      <w:r>
        <w:t xml:space="preserve">14/03/1997</w:t>
      </w:r>
    </w:p>
    <w:p/>
    <w:p>
      <w:r>
        <w:t xml:space="preserve">SE A SUSPENDE OU SE A INTERROMPE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e lhe nego provimento, pois razão assiste ao v. acórdão recorrido: "Consoante é de conhecimento elementar, porque grafado na própria lei, não corre prescrição durante a demora que, "no estudo, no reconhecimento ou no pagamento da dívida, considerada líquida, tiverem as repartições ou funcionários encarregados de estudar ou de apurá-la" (Decreto nº. 20.910, de 06-01-1932). - Ao reverso do que re supõe, na hipótese, não se trata de interrupção de prescrição, mas de mera suspensão, como aliás decorre do parágrafo único do artigo encimado. - Vem a pelo, aliás, a lição de HELY LOPES MEIRELLES, quando em seu Direito Administrativo Brasileiro, ensina: "A reclamação administrativa suspende, (não interrompe), a prescrição, isto é, faz paralisar a fluência do prazo prescricional pelo tempo em que o pedido estiver em estudo, até a decisão administrativa." - E prossegue: "Julgada a reclamação, recomeça a correr o prazo da prescrição, deduzindo-se o período já transcorrido do tempo total estabelecido em lei" (Op. cit, p. 83). - Aplicando-se a lição ao caso enfocado chega-se à ilação irreversível: de 14 de novembro de 1968, até data em que distribuída a ação, em 13 de agosto de 1974, passaram-se 5 anos, 8 meses e 30 dias. Descontando-se desse total o prazo de suspensão do lapso prescritivo, aquele que se estende desde 23 de julho a 29 de outubro de 1973, de 3 meses e seis dias, chegar-se-á à inelutável conclusão de que, quando proposta a ação, o qüinqüênio já estava ultrapassado em 5 meses e 27 dias. - E assim o é, a decisão está correta. - É o meu voto. Julgado em 15-03-1997 Revista Trimestral de Jurisprudência. Junho, 1977. Vol. 80. Pág. 994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dos artigos 1º, 4º, parágrafo 6º, do Decreto nº 20.910 de 1932. - A reclamação administrativa suspende (não interrompe), a prescrição, isto é, faz paralisar a fluência do prazo prescricional pelo tempo em que estiver em estudo, até a decisão administrativa. Julgada a reclamação, recomeça a correr o prazo da prescrição, deduzindo-se o período já transcorrido do tempo total estabelecido em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2026-10-26T04:36:14.924Z</dcterms:created>
  <dcterms:modified xsi:type="dcterms:W3CDTF">2026-10-26T04:36:14.924Z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