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CONSTITUIÇÃO ESTADUAL</w:t>
      </w:r>
    </w:p>
    <w:p/>
    <w:p/>
    <w:p>
      <w:r>
        <w:t xml:space="preserve">APLICAÇÃO A PARTIR DA LEI QUE A INSTITUIU — SE O PRINCÍPIO SE APLICA ÀS AÇÕES DE INDENIZAÇÃO POR DEMORA NO PAGAMENTO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Inteligência do artigo 1.061 do Código Civil, em face das Leis nº. 4.686, de 1965 e 5.670, de 1971. - Se o desapropriante causou prejuízo ao proprietário do bem desapropriado com o demorar o pagamento do preço indenizatório, e se o fez culposamente (ato ilícito), deve pagar a indenização por meio de moeda corrigida no seu valor, e não apenas os juros a que se refere o artigo 1.061 do Código Civil, ficando, assim, alterada a jurisprudência resumida no enunciado da Súmula e sem aplicação a restrição trazida pela Lei nº. 5.670, por não se tratar de revalorização da dívida. (Ementa modificada pelo EMENTÁRIO FORENSE) V. o título RESPONSABILIDADE DO ESTADO, subtítulo DESAPROPRIAÇÃO EMENTÁRIO FORENSE. Fevereiro, 1978. Ano XXX. Nº 351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2026-09-11T00:08:29.512Z</dcterms:created>
  <dcterms:modified xsi:type="dcterms:W3CDTF">2026-09-11T00:08:29.512Z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