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JUSTIFICAÇÃO JUDICIAL</w:t>
      </w:r>
    </w:p>
    <w:p/>
    <w:p>
      <w:r>
        <w:rPr>
          <w:b/>
          <w:bCs/>
        </w:rPr>
        <w:t xml:space="preserve">Recurso: </w:t>
      </w:r>
      <w:r>
        <w:t xml:space="preserve">RE 81.122</w:t>
      </w:r>
    </w:p>
    <w:p>
      <w:r>
        <w:rPr>
          <w:b/>
          <w:bCs/>
        </w:rPr>
        <w:t xml:space="preserve">Julgado em: </w:t>
      </w:r>
      <w:r>
        <w:t xml:space="preserve">17/02/1967</w:t>
      </w:r>
    </w:p>
    <w:p/>
    <w:p>
      <w:r>
        <w:t xml:space="preserve">LIMITAÇÕES — QUANDO A ELAS NÃO ESTÁ SUJEITO 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questão idêntica à versada nestes autos pronunciou-se o Plenário desta Corte, ao julgar em 15-09-1976, o RE n. 81.122, em que era recorrente Cetenco Engenharia S.A. e recorrida Prefeitura Municipal de Cubatão. Embora conhecido pela letra c, o recurso não foi provido, estando a ementa do acórdão vasada nestes termos: "Imposto sobre serviços. Na fixação de sua alíquota, não está o Município sujeito às limitações do art. 9º. do Ato Complementar nº. 34, de 31-01-1967, revogado desde quando entrou em vigor a Constituição de 1967, e não repristinado pela norma do art. 24, § 4º., da redação que deu a esta a Emenda nº. 1, de 1969". A decisão foi tomada por maioria, tendo sido votos vencidos o eminente Ministro CORDEIRO GUERRA, Relator, e eu, figurando como relator para o acórdão, por ter sido o primeiro voto vencedor, o eminente Ministro XAVIER DE ALBUQUERQUE. - A "quaestio juris", a que se refere o presente recurso é, como já assinalei, perfeitamente igual à do RE nº. 81.122, com a só diferença de que a Prefeitura Municipal de Cubatão agora, em vez de recorrida, é recorrente. Diante, pois, da aludida decisão do Plenário, e com ressalva da minha opinião, conheço do recurso e lhe dou provimento, para cassar a segurança, condenada a recorrida às custas processuais. Julgado em 18-02-1967 Revista Trimestral de Jurisprudência. Julho, 1977. Pág. 96. Vol. 81 EMENTÁRIO FORENSE. Fevereiro, 1977.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fixação da alíquota do Imposto sobre Serviços não está o município sujeito às limitações do art. 9º. do Ato Complementar nº. 34, de 31-01-1967, revogado desde quando entrou em vigor a Constituição de 1967, e não repristinado pela norma do art. 24, § 4º., da redação que deu a esta a Emenda nº. 1, de 1969.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2026-10-26T03:10:35.169Z</dcterms:created>
  <dcterms:modified xsi:type="dcterms:W3CDTF">2026-10-26T03:10:35.169Z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