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TÍTULO EXTRAJUDICIAL</w:t>
      </w:r>
    </w:p>
    <w:p/>
    <w:p/>
    <w:p>
      <w:r>
        <w:t xml:space="preserve">PENHOR LEGAL — HOMOLOGAÇÃO POR SENTENÇA - DESPESAS COM HOSPEDAGENS - ART. 1431/NCC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... ..., brasileiro, solteiro, comerciante, Rg..., CPF..., residente e domiciliado em ..., sendo credor de ...brasileiro, casado, de profissão desconhecida ..., pela quantia de R$ ..., proveniente de despesas de hospedagens, vem, com fundamentos nos arts. 874 e 876, do Código de Processo Civil, requerer a Vossa Excelência a homologação do penhor legal dos objetos, constantes da relação em separado, retidos para garantia da divida referida. O requerente, para cumprimento dos dispositivos legais, apresenta: a) conta pormenorizada das despesas do devedor; b) tabela de preços que serviu de base à referida conta; c) relação dos objetos, pertencentes ao devedor, retidos pelo Requerente para garantia da dívida. Assim, cumpridas as formalidades processuais e homologadas por sentença, o penhor requer a devolução dos autos independente de traslado. Termos em que Pede e Espera Deferimento ... de ... de... OAB...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2026-10-26T02:38:21.788Z</dcterms:created>
  <dcterms:modified xsi:type="dcterms:W3CDTF">2026-10-26T02:38:21.788Z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