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TÍTULO EXTRAJUDICIAL</w:t>
      </w:r>
    </w:p>
    <w:p/>
    <w:p/>
    <w:p>
      <w:r>
        <w:t xml:space="preserve">PENHOR LEGAL — HOMOLOGAÇÃO POR SENTENÇA - DESPESAS COM HOSPEDAGENS - ART. 1431/NCC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... ..., brasileiro, solteiro, comerciante, Rg..., CPF..., residente e domiciliado em ..., sendo credor de ...brasileiro, casado, de profissão desconhecida ..., pela quantia de R$ ..., proveniente de despesas de hospedagens, vem, com fundamentos nos arts. 874 e 876, do Código de Processo Civil, requerer a Vossa Excelência a homologação do penhor legal dos objetos, constantes da relação em separado, retidos para garantia da divida referida. O requerente, para cumprimento dos dispositivos legais, apresenta: a) conta pormenorizada das despesas do devedor; b) tabela de preços que serviu de base à referida conta; c) relação dos objetos, pertencentes ao devedor, retidos pelo Requerente para garantia da dívida. Assim, cumpridas as formalidades processuais e homologadas por sentença, o penhor requer a devolução dos autos independente de traslado. Termos em que Pede e Espera Deferimento ... de ... de... OAB...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2026-07-28T00:09:09.173Z</dcterms:created>
  <dcterms:modified xsi:type="dcterms:W3CDTF">2026-07-28T00:09:09.173Z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