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Julgado em: </w:t>
      </w:r>
      <w:r>
        <w:t xml:space="preserve">07/08/1985</w:t>
      </w:r>
    </w:p>
    <w:p/>
    <w:p>
      <w:r>
        <w:t xml:space="preserve">DIREITO COMUM — PILOTO DE AERONAVE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a legislação de acidentes do trabalho quando o Código Brasileiro do Ar constituem legislação especial, é certo. Mas razões que inspiraram o Excelso Pretório a aditar o verbete nº 229 (*) de sua Súmula, aplicam-se, indistintamente, na última e naquela outra legislação. - Em caso de transporte aéreo, por conseguinte, a regra do artigo 106 de respectivo estatuto deve ser entendida, a fim de abranger não só o dolo, como a culpa grave, a ele equiparável. - A circunstância de haverem os autores recebido a indenização limitada, com base nos artigos 103 e 104 do Código Brasileiro do Ar, e eventual indenização do INPS, com respaldo da infortunística, não pode excluir, dessarte, a pretensão com suporte no direito comum. - De resto, a persistência da Súmula nº 229 (*) tem sido reiterada pelo Excelso Pretório através de diversos e recentes pronunciamentos (por todos, vide RTJ 101/1.101). - Cuida-se, então, de saber se houve, ou não, culpa grave da transportadora para acolher-se ou não, a "res in iudicium deducta". Na hipótese afirmativa, procederá a ação dentro do princípio da "restitutio in integrum", devendo abater-se do montante indenizável o "quantum" já recebido. - A argumentação da douta sentença, no tocante à culpa grave da ré, com louvável esforço da análise do complexo probatório produzido, inclusive com base no laudo pericial ... e no relatório do SIPAER (...), que é o órgão do Ministério da Aeronáutica para a apuração das causas do acidente com aeronaves no País, afigura-se irrefutável, fazendo parte integrante do presente na forma regimental . - Os autos não fornecem elementos para a fixação de quantia certa a título de condenação da ré. - Solução correta, dessarte, será arbitrar-se, em liquidação, a indenização, deduzindo-se do total tudo aquilo que os autores em decorrência do lamentável evento, já tenham recebido. - Além das custas, pagará a ré, mercê do sucumbimento, honorários advocatícios que se fixam em quinze por cento das prestações vencidas e um ano das vincendas. - Nesse sentido o provimento do recurso. Julgado em 08-08-1985 Arquivo do EMFOR, TA/668 (*) "A indenização acidentária não exclui a do direito comum, em caso de dolo ou culpa grave do empregador." (EMENTÁRIO FORENSE, nº 194)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de indenização por morte de piloto de transporte aéreo com base nos artigos 103 e 104 do Código Brasileiro do Ar, bem como a devida pelo INPS, não exclui a pretensão fundada no direito comum, desde que se prove, a teor do verbete 229 (*) da Súmula do Excelso Pretório, culpa grave ou dolo do transportador.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2026-07-27T23:29:55.986Z</dcterms:created>
  <dcterms:modified xsi:type="dcterms:W3CDTF">2026-07-27T23:29:55.986Z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