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6-571-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MARCIAL HOLLANDA</w:t>
      </w:r>
    </w:p>
    <w:p/>
    <w:p>
      <w:r>
        <w:t xml:space="preserve">AÇÃO ORDINÁRIA — DANO MORAL - PEDIDO DEVE SER CERTO E DETERMINADO - AGRAVO RETIDO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...A VARA CÍVEL DA COMARCA DE ... CONTRA-RAZÕES DE AGRAVO RETIDO. AUTOS DE NÚMERO: ... ..., já qualificada nos autos de Ação Ordinária de Indenização, de número ..., movida contra ... , por seu procurador judicial que esta subscreve, face à interposição de AGRAVO RETIDO, com fulcro no artigo 522, processual civil, vem a requerente ora agravada trazer suas CONTRA - RAZÕES, Consubstanciada no quanto segue: 1. A requerida na Ação, ora Agravante, atendendo o direcionamento que tem dado na tramitação da mesma insiste em intentar distorcidamente o pedido do dano moral que deve ser certo e determinado. Alegando ainda, que tal falha é insanável, o que dificultou a defesa da ré, e ainda, finalizando diz que o pedido dos danos morais é inepto por ausência de parâmetros valorativos. 2.Em seu resumo fático, às fls. ..., alega que: " A agravante, em sua contestação, alegou inépcia da inicial, eis que esta não contém valores..." . Restou caracterizada na inicial que muito bem esclarece esse fato, às fls. ..., como segue: "Termos em que, com inclusos documentos e protestando pela juntada de outros, se o controvertido dos autos assim exigir, dá á presente, apenas para efeitos fiscais o valor de R$ 5.000,00 ( cinco mil reais )." Portanto, claro esta o valor da causa para efeitos fiscais, ou seja, R$ 5.000,00 ( cinco mil reais ). Observe-se ainda, que a particular concepção engloba como pedido genérico o chamado pedido relativamente indeterminado, que a lei, frise-se, admite. 3. Continuando às fls. ..., diz: "..., nem tão pouco a estimativa da requerente em relação a indenização pretendida." Apenas argumentando, que qualquer valor prefixado pela autora, a requerida, oferece impugnação, questionando-o, por exemplo, o "quantum" pedido a título de dano moral, poderá o juiz repeli-lo de plano, posto que o montante indenizatório, pendente de arbitramento e vinculado por inteiro à pro va a ser produzida, é indeterminado e impossível de ser prefixado. Também o dano moral, que a autora vem suportando em seu dia a dia , restará demonstrado por ocasião da instrução processual, possibilitando a sua "aferição" e "fixação" do "quantum" devido pela ré. 4. A agravante às fls. ..., diz que: "O MM. Juízo a quo encontra-se equivocado, estando a decisão agravada a ferir o artigo 286 do Código de Processo Civil, ...". Note-se, que a própria agravante quando transcreve o artigo 286 do Código de Processo Civil, confessa ela própria estar equivocada, senão vejamos: "Art. 286 - CPC... I - ... II - quando não foi possível determinar, de modo definitivo, as conseqüências do ato ou fato ilícito;" Observe-se, às fls. ..., dos quesitos formulados pela requerida, que ela própria não sabe se as conseqüências se originaram do ato ou fato ilícito, quando diz: " Considerando-se as condições em que a obreira desenvolvia seu trabalho nas dependências da ré, poderia o nobre "expert" afirmar que a (s) doença (s) / lesão (ões) mencionada (s) na resposta n. 1 é (são) decorrente (s) das atividades desenvolvidas em razão do trabalho efetuado pela autora na Empresa requerida ou se apenas se manifestou (manifestaram) em razão deste ?" Os processualistas Nelson Nery Junior e Rosa Maria Andrade Nery, "in" Código de Processo Civil Comentado, 3a edição, RT, às fls. 569, esclarecem: "II. 5 - Conseqüências do ato ou fato ilícito. O pedido pode ser genérico nas ações de indenização, quando não se puder, desde logo, determinar as conseqüências do ato ou fato ilícito .Neste caso, o juiz poderá levar em consideração fatos novos ocorridos depois da propositura da ação, para que possa proferir a sentença." Como se vê no caso em exame não se tem conhecimento do grau da lesão da requerente e suas conseqüências pelo ato ou fato ilícito da requerida, portanto, o direito como ciência dinâmica, não haveria de obstar seu curso evolutivo ante a limitação formal da Lei ins trumental, mormente diante da ordem Constitucional que permite plena reparabilidade dos danos morais, haja vista, que cristalizou em 1988, o direito em cláusula pétrea, na clara dicção de seu artigo 5o , X, que diz: "CF - artigo 5O ... ... X - São invioláveis a intimidade, a vida privada, a honra e a imagem das pessoas, assegurado o direito a indenização pelo dano material ou moral decorrente de sua violação;" O que tornou superada a antiga controvérsia acerca da matéria. Eis que, diante da Constituição Federal de 1988, em seu artigo 5o , X, tomou corpo como critério adequado à fixa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2026-10-26T05:36:36.475Z</dcterms:created>
  <dcterms:modified xsi:type="dcterms:W3CDTF">2026-10-26T05:36:36.475Z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