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RESP 6-571-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MARCIAL HOLLANDA</w:t>
      </w:r>
    </w:p>
    <w:p/>
    <w:p>
      <w:r>
        <w:t xml:space="preserve">AÇÃO ORDINÁRIA — DANO MORAL - PEDIDO DEVE SER CERTO E DETERMINADO - AGRAVO RETIDO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...A VARA CÍVEL DA COMARCA DE ... CONTRA-RAZÕES DE AGRAVO RETIDO. AUTOS DE NÚMERO: ... ..., já qualificada nos autos de Ação Ordinária de Indenização, de número ..., movida contra ... , por seu procurador judicial que esta subscreve, face à interposição de AGRAVO RETIDO, com fulcro no artigo 522, processual civil, vem a requerente ora agravada trazer suas CONTRA - RAZÕES, Consubstanciada no quanto segue: 1. A requerida na Ação, ora Agravante, atendendo o direcionamento que tem dado na tramitação da mesma insiste em intentar distorcidamente o pedido do dano moral que deve ser certo e determinado. Alegando ainda, que tal falha é insanável, o que dificultou a defesa da ré, e ainda, finalizando diz que o pedido dos danos morais é inepto por ausência de parâmetros valorativos. 2.Em seu resumo fático, às fls. ..., alega que: " A agravante, em sua contestação, alegou inépcia da inicial, eis que esta não contém valores..." . Restou caracterizada na inicial que muito bem esclarece esse fato, às fls. ..., como segue: "Termos em que, com inclusos documentos e protestando pela juntada de outros, se o controvertido dos autos assim exigir, dá á presente, apenas para efeitos fiscais o valor de R$ 5.000,00 ( cinco mil reais )." Portanto, claro esta o valor da causa para efeitos fiscais, ou seja, R$ 5.000,00 ( cinco mil reais ). Observe-se ainda, que a particular concepção engloba como pedido genérico o chamado pedido relativamente indeterminado, que a lei, frise-se, admite. 3. Continuando às fls. ..., diz: "..., nem tão pouco a estimativa da requerente em relação a indenização pretendida." Apenas argumentando, que qualquer valor prefixado pela autora, a requerida, oferece impugnação, questionando-o, por exemplo, o "quantum" pedido a título de dano moral, poderá o juiz repeli-lo de plano, posto que o montante indenizatório, pendente de arbitramento e vinculado por inteiro à pro va a ser produzida, é indeterminado e impossível de ser prefixado. Também o dano moral, que a autora vem suportando em seu dia a dia , restará demonstrado por ocasião da instrução processual, possibilitando a sua "aferição" e "fixação" do "quantum" devido pela ré. 4. A agravante às fls. ..., diz que: "O MM. Juízo a quo encontra-se equivocado, estando a decisão agravada a ferir o artigo 286 do Código de Processo Civil, ...". Note-se, que a própria agravante quando transcreve o artigo 286 do Código de Processo Civil, confessa ela própria estar equivocada, senão vejamos: "Art. 286 - CPC... I - ... II - quando não foi possível determinar, de modo definitivo, as conseqüências do ato ou fato ilícito;" Observe-se, às fls. ..., dos quesitos formulados pela requerida, que ela própria não sabe se as conseqüências se originaram do ato ou fato ilícito, quando diz: " Considerando-se as condições em que a obreira desenvolvia seu trabalho nas dependências da ré, poderia o nobre "expert" afirmar que a (s) doença (s) / lesão (ões) mencionada (s) na resposta n. 1 é (são) decorrente (s) das atividades desenvolvidas em razão do trabalho efetuado pela autora na Empresa requerida ou se apenas se manifestou (manifestaram) em razão deste ?" Os processualistas Nelson Nery Junior e Rosa Maria Andrade Nery, "in" Código de Processo Civil Comentado, 3a edição, RT, às fls. 569, esclarecem: "II. 5 - Conseqüências do ato ou fato ilícito. O pedido pode ser genérico nas ações de indenização, quando não se puder, desde logo, determinar as conseqüências do ato ou fato ilícito .Neste caso, o juiz poderá levar em consideração fatos novos ocorridos depois da propositura da ação, para que possa proferir a sentença." Como se vê no caso em exame não se tem conhecimento do grau da lesão da requerente e suas conseqüências pelo ato ou fato ilícito da requerida, portanto, o direito como ciência dinâmica, não haveria de obstar seu curso evolutivo ante a limitação formal da Lei ins trumental, mormente diante da ordem Constitucional que permite plena reparabilidade dos danos morais, haja vista, que cristalizou em 1988, o direito em cláusula pétrea, na clara dicção de seu artigo 5o , X, que diz: "CF - artigo 5O ... ... X - São invioláveis a intimidade, a vida privada, a honra e a imagem das pessoas, assegurado o direito a indenização pelo dano material ou moral decorrente de sua violação;" O que tornou superada a antiga controvérsia acerca da matéria. Eis que, diante da Constituição Federal de 1988, em seu artigo 5o , X, tomou corpo como critério adequado à fixa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2026-09-10T22:27:05.754Z</dcterms:created>
  <dcterms:modified xsi:type="dcterms:W3CDTF">2026-09-10T22:27:05.754Z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