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IMPROBIDADE ADMINISTRATIVA</w:t>
      </w:r>
    </w:p>
    <w:p/>
    <w:p>
      <w:r>
        <w:rPr>
          <w:b/>
          <w:bCs/>
        </w:rPr>
        <w:t xml:space="preserve">Tribunal: </w:t>
      </w:r>
      <w:r>
        <w:t xml:space="preserve">TJDF</w:t>
      </w:r>
    </w:p>
    <w:p/>
    <w:p>
      <w:r>
        <w:t xml:space="preserve">TRÂNSITO — AUTO DE INFRAÇÃO - SINALIZAÇÃO ELETRÔNICA - CONTROLE DA VELOCIDADE - ART. 90/CBT - CÓDIGO BRASILEIRO DE TRÂNSITO - MULTA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ILMO. SENHOR DIRETOR DA DIRETRAN DA ... Auto de Infração n.º... ..., pessoa jurídica de direito privado, com sede na cidade de ..., na Rua ..., nº..., com CNPJ sob o n.º ..., por seus advogados, infra-assinados, com escritório profissional à Rua ..., n.º ..., Conj. ..., centro,... - ..., fone ..., onde recebem notificações e intimações, vem, com o devido respeito, perante Vossa Senhoria, tempestivamente, apresentar; DEFESA aos termos do Auto de Infração em epígrafe, lavrado pelo DIRETRAN, pelos motivos que passa a aduzir: 1. Foi lavrada autuação de infração, supostamente cometida pela autora, em linhas gerais por transitar em velocidade superior a máxima permitida para via coletora e local, o veículo..., placa..., de sua propriedade, conduzido pelo Sr..., conforme apresentação do condutor já protocolada junto a este departamento. A autuação tem como fundamento o art. 218, II, a, CTB. (I) MÉRITO - SINALIZAÇÃO OCULTA 2. Conforme constante da Notificação apresentada a esta empresa, proprietária do veículo, o fato teria ocorrido em data de ..., às ... horas, à Rua ..., nº ..., Sent... 3. A resolução nº 8 de 23/01/1998 do CONTRAN, em seu artigo 1º e 2º, preceitua: "Art. 1º - Toda fiscalização de trânsito por meio mecânico, elétrico, eletrônico ou fotográfico, deverá ser indicada, pelo menos, por sinalização vertical conforme modelo constante no anexo I da presente Resolução". "Art. 2º - A sinalização devera ser colocada ao longo da via fiscalizada, observada a engenharia de tráfego, respeitando espaçamentos mínimos que mantenham o usuário permanentemente informado". 4. A legislação é clara, o uso de aparelhos eletrônicos de controle de velocidade é perfeitamente regular desde que, devidamente sinalizados na via. No local onde ocorreu a autuação guerreada, não existe sinalização visível, indicando a existência de controle eletrônico de velocidade. 5. O Código Brasileiro de Trânsito esclarece que, não serão aplicadas as sanções previstas no código, quando a sinalização for insuficiente, esta é a inteligência do artigo 90: "Art. 90. Não serão aplicadas as sanções previstas neste Código por inobservância à sinalização quando esta for insuficiente ou incorreta. § 1º. O órgão ou entidade de trânsito com circunscrição sobre a via é responsável pela implantação da sinalização, respondendo pela sua falta, insuficiência ou incorreta colocação. § 2º. O CONTRAN editará normas complementares no que se refere à interpretação, colocação e uso da sinalização." 6. Os Tribunais aplicando a norma ao caso concreto também já se manifestaram: 32085293 - ADMINISTRATIVO - MULTA DE TRÂNSITO - ESTACIONAMENTO EM LOCAL PROIBIDO - INSUFICIÊNCIA DA SINALIZAÇÃO - A insuficiência da sinalização, colocada só de um lado de via que se destina apenas a acesso ao interior de conjunto residencial, impossibilitando saber se a proibição de estacionar ao longo do meio-fio era dos dois lados da via, afasta a aplicação de multa por estacionamento proibido (ctb, art. 90). Apelação e remessa ex-officio não providas. (TJDF - APC (grifo nosso) Pelas razões acima, requer seja recebida a presente defesa e por conseqüência seja cancelada a autuação lavrada em face da ora Autuada, por ser totalmente improcedente. (II) - MÉRITO - VELOCIDADE COMPATÍVEL 1. Entretanto, se porventura não for acolhida as argumentações acima, deve-se levar em conta ainda a velocidade desenvolvida pelo condutor do veículo apontado na Autuação, que era compatível com o local, senão vejamos. 2. O auto de infração é insubsistente e deve ser anulado por Vossa Senhoria, visto o requerente não ter infringido a norma constante no artigo 218, II, A, do Código de Trânsito. 3. Com efeito, o velocímetro do veículo do requerente, no momento da foto, marcava 60 Km/hora, aparelho este que é analógico e escalonado em 5 Km/hora, enquanto que o "radar" é um equipamento de alta precisão, com aferição escalonada em 1 Km/hora. 4. Ex iste pela legislação uma tolerância na aferição de cada equipamento, sendo que uma marcação a menor no velocímetro e uma aferição a maior no "radar" justificaria os 18 Km/hora excedentes na ocasião da autuação (a velocidade auferida foi de 78 Km/hora). 5. Saliente-se que os equipamentos de "radar" instalados ainda não foram homologados pelo INMETRO, ou se foram, deve o mesmo ser novamente auferido, sendo, portanto, questionáveis as suas aferições, porque o condutor afirma que sua velocidade não estava superior a 60 km/h. 6. Assim sendo, e não tendo havido qualquer infração de trânsito, 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2026-10-26T03:50:48.389Z</dcterms:created>
  <dcterms:modified xsi:type="dcterms:W3CDTF">2026-10-26T03:50:48.389Z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