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RESP 52.846</w:t>
      </w:r>
    </w:p>
    <w:p/>
    <w:p>
      <w:r>
        <w:t xml:space="preserve">COBRANÇA APÓS A LEI 6.899/81 —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débitos relativos a benefício previdenciário, vencidos e cobrados em Juízo após a vigência da Lei 6.899/81, devem ser corrigidos monetariamente na forma prevista nesse diploma legal." Referência Legislativa Lei nº 6.899/81. Precedentes ERESP 52.846 - SP (3ª S. 02-03-95 - DJ 27-03-95). REsp 26.804 - SP (5ª T. 08-06-94 - DJ 01-08-94). REsp 49.328 - SP (5ª T. 09-11-94 - DJ 28-11-94). REsp 59.318 - MG (5ª T. 20-03-95 - DJ 24-04-95). REsp 45.653 - SP (6ª T. 09-05-94 - DJ 23-05-94). REsp 53.157 - SP (6ª T. 20-09-94 - DJ 24-10-94). Decisão em 7-12-1995 DJ de 18-12-95, página 44.864 EMFOR - Nº 566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2026-10-26T02:40:22.786Z</dcterms:created>
  <dcterms:modified xsi:type="dcterms:W3CDTF">2026-10-26T02:40:22.786Z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