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/>
    <w:p>
      <w:r>
        <w:t xml:space="preserve">BANCO — CONTRATO ATRELADO EM DÓLAR - RECURSO - LIMINAR - PAGAMENTO - BAIXA DE REGISTRO - RESTRIÇÃO DE CRÉDITO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DE ... Autos n.º .../... ...,litisconsorte ativo, já devidamente qualificado nos autos em epígrafe, através de seu advogado infra-assinado, vem expor e ao final requerer: 1. O ora requerente firmou contrato, atrelado ao dólar, com ... Como foi deferida a liminar para que fosse pago as prestações corrigidas pelo INPC, o ora requerido assim procedeu, vez que habilitou-se como litisconsorte ativo na presente. 2. O processo foi julgado procedente em 1º e 2º graus, tendo as rés adentrado com Recurso Especial, o qual não foi deferido o efeito suspensivo. 3. Ocorre que o ora requerido terminou de pagar todas as prestações, mas a Instituição bancária não quer fornecer o documento hábil para baixa da restrição junto ao ... . Assim sendo, com os documentos inclusos, vem requerer seja oficiado ao ... para que procede a baixa da restrição (arrendamento), no veículo ..., placas ... . Termos em que, pede deferimento. ..., ... de ... de ... . ... Nome: ... OAB/... - n.º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2026-07-28T00:23:35.851Z</dcterms:created>
  <dcterms:modified xsi:type="dcterms:W3CDTF">2026-07-28T00:23:35.851Z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